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0C46" w14:textId="77777777" w:rsidR="002877F0" w:rsidRDefault="000A58E8">
      <w:pPr>
        <w:spacing w:after="0" w:line="259" w:lineRule="auto"/>
        <w:ind w:left="29" w:firstLine="0"/>
      </w:pPr>
      <w:r>
        <w:rPr>
          <w:color w:val="000000"/>
        </w:rPr>
        <w:t xml:space="preserve"> </w:t>
      </w:r>
    </w:p>
    <w:tbl>
      <w:tblPr>
        <w:tblStyle w:val="TableGrid"/>
        <w:tblW w:w="9537" w:type="dxa"/>
        <w:tblInd w:w="-60" w:type="dxa"/>
        <w:tblCellMar>
          <w:top w:w="40" w:type="dxa"/>
          <w:left w:w="62" w:type="dxa"/>
          <w:bottom w:w="111" w:type="dxa"/>
          <w:right w:w="78" w:type="dxa"/>
        </w:tblCellMar>
        <w:tblLook w:val="04A0" w:firstRow="1" w:lastRow="0" w:firstColumn="1" w:lastColumn="0" w:noHBand="0" w:noVBand="1"/>
      </w:tblPr>
      <w:tblGrid>
        <w:gridCol w:w="3036"/>
        <w:gridCol w:w="3656"/>
        <w:gridCol w:w="1414"/>
        <w:gridCol w:w="1431"/>
      </w:tblGrid>
      <w:tr w:rsidR="002877F0" w14:paraId="3A4A8DF4" w14:textId="77777777">
        <w:trPr>
          <w:trHeight w:val="869"/>
        </w:trPr>
        <w:tc>
          <w:tcPr>
            <w:tcW w:w="3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F79141" w14:textId="77777777" w:rsidR="002877F0" w:rsidRDefault="000A58E8">
            <w:pPr>
              <w:spacing w:after="178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F23619C" wp14:editId="4B646A66">
                  <wp:extent cx="1762125" cy="377190"/>
                  <wp:effectExtent l="0" t="0" r="0" b="0"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C2A73" w14:textId="77777777" w:rsidR="002877F0" w:rsidRDefault="000A58E8">
            <w:pPr>
              <w:spacing w:after="0" w:line="259" w:lineRule="auto"/>
              <w:ind w:left="24" w:firstLine="0"/>
            </w:pPr>
            <w:r>
              <w:t xml:space="preserve"> </w:t>
            </w:r>
          </w:p>
        </w:tc>
        <w:tc>
          <w:tcPr>
            <w:tcW w:w="36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574AF" w14:textId="77777777" w:rsidR="002877F0" w:rsidRDefault="000A58E8">
            <w:pPr>
              <w:spacing w:after="0" w:line="259" w:lineRule="auto"/>
              <w:ind w:left="120" w:firstLine="0"/>
            </w:pPr>
            <w:r>
              <w:rPr>
                <w:sz w:val="40"/>
              </w:rPr>
              <w:t xml:space="preserve">Rektoratsbeschluss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A67F8" w14:textId="77777777" w:rsidR="002877F0" w:rsidRDefault="000A58E8">
            <w:pPr>
              <w:spacing w:after="75" w:line="259" w:lineRule="auto"/>
              <w:ind w:left="32" w:firstLine="0"/>
            </w:pPr>
            <w:r>
              <w:rPr>
                <w:sz w:val="20"/>
              </w:rPr>
              <w:t>Dokument</w:t>
            </w:r>
            <w:r>
              <w:t xml:space="preserve"> </w:t>
            </w:r>
          </w:p>
          <w:p w14:paraId="68935B73" w14:textId="77777777" w:rsidR="002877F0" w:rsidRDefault="000A58E8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>III.5.2-010-03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83A1E" w14:textId="77777777" w:rsidR="002877F0" w:rsidRDefault="000A58E8">
            <w:pPr>
              <w:spacing w:after="0" w:line="259" w:lineRule="auto"/>
              <w:ind w:left="587" w:right="413" w:hanging="555"/>
            </w:pPr>
            <w:proofErr w:type="gramStart"/>
            <w:r>
              <w:rPr>
                <w:sz w:val="20"/>
              </w:rPr>
              <w:t xml:space="preserve">Version  </w:t>
            </w:r>
            <w:r>
              <w:t>A</w:t>
            </w:r>
            <w:proofErr w:type="gramEnd"/>
            <w:r>
              <w:t xml:space="preserve"> </w:t>
            </w:r>
          </w:p>
        </w:tc>
      </w:tr>
      <w:tr w:rsidR="002877F0" w14:paraId="2486CFF2" w14:textId="77777777">
        <w:trPr>
          <w:trHeight w:val="8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4A99F" w14:textId="77777777" w:rsidR="002877F0" w:rsidRDefault="002877F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C2CC0" w14:textId="77777777" w:rsidR="002877F0" w:rsidRDefault="002877F0">
            <w:pPr>
              <w:spacing w:after="160" w:line="259" w:lineRule="auto"/>
              <w:ind w:left="0" w:firstLine="0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DA27B" w14:textId="77777777" w:rsidR="002877F0" w:rsidRDefault="000A58E8">
            <w:pPr>
              <w:spacing w:after="0" w:line="259" w:lineRule="auto"/>
              <w:ind w:left="128" w:firstLine="0"/>
            </w:pPr>
            <w:r>
              <w:rPr>
                <w:sz w:val="22"/>
              </w:rPr>
              <w:t>2024-12-07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F35A1" w14:textId="77777777" w:rsidR="002877F0" w:rsidRDefault="000A58E8">
            <w:pPr>
              <w:spacing w:after="37" w:line="259" w:lineRule="auto"/>
              <w:ind w:left="24" w:firstLine="0"/>
            </w:pPr>
            <w:r>
              <w:rPr>
                <w:sz w:val="18"/>
              </w:rPr>
              <w:t xml:space="preserve"> </w:t>
            </w:r>
          </w:p>
          <w:p w14:paraId="76793F85" w14:textId="77777777" w:rsidR="002877F0" w:rsidRDefault="000A58E8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Seite I von 3</w:t>
            </w:r>
            <w:r>
              <w:rPr>
                <w:sz w:val="18"/>
              </w:rPr>
              <w:t xml:space="preserve"> </w:t>
            </w:r>
          </w:p>
        </w:tc>
      </w:tr>
    </w:tbl>
    <w:p w14:paraId="62E44FDA" w14:textId="77777777" w:rsidR="002877F0" w:rsidRDefault="000A58E8">
      <w:pPr>
        <w:spacing w:after="20" w:line="259" w:lineRule="auto"/>
        <w:ind w:left="77" w:firstLine="0"/>
      </w:pPr>
      <w:r>
        <w:t xml:space="preserve"> </w:t>
      </w:r>
    </w:p>
    <w:p w14:paraId="6BD84F56" w14:textId="77777777" w:rsidR="002877F0" w:rsidRDefault="000A58E8">
      <w:pPr>
        <w:spacing w:after="22" w:line="259" w:lineRule="auto"/>
        <w:ind w:left="77" w:firstLine="0"/>
      </w:pPr>
      <w:r>
        <w:t xml:space="preserve"> </w:t>
      </w:r>
    </w:p>
    <w:p w14:paraId="64687AB8" w14:textId="77777777" w:rsidR="002877F0" w:rsidRDefault="000A58E8">
      <w:r>
        <w:t xml:space="preserve">Rektor: Univ.-Prof. HR </w:t>
      </w:r>
      <w:proofErr w:type="spellStart"/>
      <w:r>
        <w:t>MMag</w:t>
      </w:r>
      <w:proofErr w:type="spellEnd"/>
      <w:r>
        <w:t xml:space="preserve">. </w:t>
      </w:r>
      <w:proofErr w:type="spellStart"/>
      <w:r>
        <w:t>DDr</w:t>
      </w:r>
      <w:proofErr w:type="spellEnd"/>
      <w:r>
        <w:t xml:space="preserve">. Erwin Rauscher </w:t>
      </w:r>
    </w:p>
    <w:p w14:paraId="1738D504" w14:textId="77777777" w:rsidR="002877F0" w:rsidRDefault="000A58E8">
      <w:r>
        <w:t xml:space="preserve">Vizerektorin: HS-Prof. Mag. Dr. Petra </w:t>
      </w:r>
      <w:proofErr w:type="spellStart"/>
      <w:r>
        <w:t>Heißenberger</w:t>
      </w:r>
      <w:proofErr w:type="spellEnd"/>
      <w:r>
        <w:t xml:space="preserve">, </w:t>
      </w:r>
      <w:proofErr w:type="spellStart"/>
      <w:r>
        <w:t>BEd</w:t>
      </w:r>
      <w:proofErr w:type="spellEnd"/>
      <w:r>
        <w:t xml:space="preserve"> </w:t>
      </w:r>
      <w:proofErr w:type="spellStart"/>
      <w:r>
        <w:t>MSc</w:t>
      </w:r>
      <w:proofErr w:type="spellEnd"/>
      <w:r>
        <w:t xml:space="preserve"> </w:t>
      </w:r>
    </w:p>
    <w:p w14:paraId="7A50AAB4" w14:textId="77777777" w:rsidR="002877F0" w:rsidRDefault="000A58E8">
      <w:pPr>
        <w:spacing w:after="54"/>
      </w:pPr>
      <w:r>
        <w:t>Vizerektorin: HS-</w:t>
      </w:r>
      <w:r>
        <w:t xml:space="preserve">Prof. Mag. Dr. Edda Polz, </w:t>
      </w:r>
      <w:proofErr w:type="spellStart"/>
      <w:r>
        <w:t>BEd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PhD </w:t>
      </w:r>
    </w:p>
    <w:p w14:paraId="03B1BAB3" w14:textId="77777777" w:rsidR="002877F0" w:rsidRDefault="000A58E8">
      <w:pPr>
        <w:spacing w:after="23" w:line="259" w:lineRule="auto"/>
        <w:ind w:left="77" w:firstLine="0"/>
      </w:pPr>
      <w:r>
        <w:rPr>
          <w:sz w:val="28"/>
        </w:rPr>
        <w:t xml:space="preserve"> </w:t>
      </w:r>
    </w:p>
    <w:p w14:paraId="54540984" w14:textId="77777777" w:rsidR="002877F0" w:rsidRDefault="000A58E8">
      <w:pPr>
        <w:spacing w:after="0" w:line="275" w:lineRule="auto"/>
        <w:ind w:left="1193" w:right="1139" w:firstLine="0"/>
        <w:jc w:val="center"/>
      </w:pPr>
      <w:r>
        <w:rPr>
          <w:sz w:val="28"/>
        </w:rPr>
        <w:t xml:space="preserve">Verordnung zur Studienberechtigungsprüfung an der PH NÖ zum Bachelorstudium </w:t>
      </w:r>
      <w:r>
        <w:rPr>
          <w:sz w:val="28"/>
        </w:rPr>
        <w:t>„Lehramt Primarstufe“</w:t>
      </w:r>
      <w:r>
        <w:rPr>
          <w:sz w:val="28"/>
        </w:rPr>
        <w:t xml:space="preserve"> gem. § 52c Hochschulgesetz 2005 </w:t>
      </w:r>
      <w:proofErr w:type="spellStart"/>
      <w:r>
        <w:rPr>
          <w:sz w:val="28"/>
        </w:rPr>
        <w:t>idgF</w:t>
      </w:r>
      <w:proofErr w:type="spellEnd"/>
      <w:r>
        <w:rPr>
          <w:sz w:val="28"/>
        </w:rPr>
        <w:t xml:space="preserve"> </w:t>
      </w:r>
    </w:p>
    <w:p w14:paraId="36FDF867" w14:textId="77777777" w:rsidR="002877F0" w:rsidRDefault="000A58E8">
      <w:pPr>
        <w:spacing w:after="20" w:line="259" w:lineRule="auto"/>
        <w:ind w:left="29" w:firstLine="0"/>
      </w:pPr>
      <w:r>
        <w:t xml:space="preserve"> </w:t>
      </w:r>
    </w:p>
    <w:p w14:paraId="482F4D07" w14:textId="77777777" w:rsidR="002877F0" w:rsidRDefault="000A58E8">
      <w:pPr>
        <w:spacing w:after="59" w:line="259" w:lineRule="auto"/>
        <w:ind w:left="29" w:firstLine="0"/>
      </w:pPr>
      <w:r>
        <w:t xml:space="preserve"> </w:t>
      </w:r>
    </w:p>
    <w:p w14:paraId="59AAD591" w14:textId="77777777" w:rsidR="002877F0" w:rsidRDefault="000A58E8">
      <w:pPr>
        <w:numPr>
          <w:ilvl w:val="0"/>
          <w:numId w:val="1"/>
        </w:numPr>
        <w:spacing w:after="45"/>
        <w:ind w:hanging="360"/>
      </w:pPr>
      <w:r>
        <w:t xml:space="preserve">Die Leistungsbeurteilung der </w:t>
      </w:r>
      <w:r>
        <w:t xml:space="preserve">fünf Teilprüfungen der Prüfungsgebiete erfolgt durch fachkundige Prüfer*innen. </w:t>
      </w:r>
    </w:p>
    <w:p w14:paraId="09CFF538" w14:textId="77777777" w:rsidR="002877F0" w:rsidRDefault="000A58E8">
      <w:pPr>
        <w:numPr>
          <w:ilvl w:val="0"/>
          <w:numId w:val="1"/>
        </w:numPr>
        <w:spacing w:after="56" w:line="259" w:lineRule="auto"/>
        <w:ind w:hanging="360"/>
      </w:pPr>
      <w:r>
        <w:t>Die Beurteilung der Teilprüfung er</w:t>
      </w:r>
      <w:r>
        <w:t>folgt mit „bestanden“ oder „nicht bestanden“</w:t>
      </w:r>
      <w:r>
        <w:t xml:space="preserve">. </w:t>
      </w:r>
    </w:p>
    <w:p w14:paraId="09FF1B25" w14:textId="77777777" w:rsidR="002877F0" w:rsidRDefault="000A58E8">
      <w:pPr>
        <w:numPr>
          <w:ilvl w:val="0"/>
          <w:numId w:val="1"/>
        </w:numPr>
        <w:spacing w:after="47"/>
        <w:ind w:hanging="360"/>
      </w:pPr>
      <w:r>
        <w:t>Mit „bestanden“</w:t>
      </w:r>
      <w:r>
        <w:t xml:space="preserve"> sind Leistungen zu beurteilen, wenn die gestellten Anforderungen in wesentliche</w:t>
      </w:r>
      <w:r>
        <w:t xml:space="preserve">n Bereichen überwiegend erfüllt worden sind. </w:t>
      </w:r>
    </w:p>
    <w:p w14:paraId="1AC11DF4" w14:textId="77777777" w:rsidR="002877F0" w:rsidRDefault="000A58E8">
      <w:pPr>
        <w:numPr>
          <w:ilvl w:val="0"/>
          <w:numId w:val="1"/>
        </w:numPr>
        <w:spacing w:after="45"/>
        <w:ind w:hanging="360"/>
      </w:pPr>
      <w:r>
        <w:t>Mit „nicht bestanden“</w:t>
      </w:r>
      <w:r>
        <w:t xml:space="preserve"> sind Leistungen zu beurteilen, wenn die gestellten Anforderungen in wesentlichen Bereichen nicht überwiegend erfüllt worden sind. </w:t>
      </w:r>
    </w:p>
    <w:p w14:paraId="7DA6E65D" w14:textId="77777777" w:rsidR="002877F0" w:rsidRDefault="000A58E8">
      <w:pPr>
        <w:numPr>
          <w:ilvl w:val="0"/>
          <w:numId w:val="1"/>
        </w:numPr>
        <w:ind w:hanging="360"/>
      </w:pPr>
      <w:proofErr w:type="gramStart"/>
      <w:r>
        <w:t>Die Prüfungskandidat</w:t>
      </w:r>
      <w:proofErr w:type="gramEnd"/>
      <w:r>
        <w:t>*innen sind berechtigt, negativ beurt</w:t>
      </w:r>
      <w:r>
        <w:t xml:space="preserve">eilte Prüfungen zweimal zu wiederholen. Die letzte zulässige Wiederholung ist in kommissioneller Form durchzuführen.  </w:t>
      </w:r>
    </w:p>
    <w:p w14:paraId="06E07DFE" w14:textId="77777777" w:rsidR="002877F0" w:rsidRDefault="000A58E8">
      <w:pPr>
        <w:ind w:left="408"/>
      </w:pPr>
      <w:r>
        <w:t xml:space="preserve">Die Prüfungskommission besteht aus einer von der Leitung der Pädagogischen Hochschule </w:t>
      </w:r>
      <w:proofErr w:type="gramStart"/>
      <w:r>
        <w:t>zu bestimmenden vorsitzenden Person</w:t>
      </w:r>
      <w:proofErr w:type="gramEnd"/>
      <w:r>
        <w:t xml:space="preserve">, der prüfenden </w:t>
      </w:r>
      <w:r>
        <w:t xml:space="preserve">Person für das zu wiederholende Prüfungsgebiet und weiteren für das angestrebte Studium von der Leitung der Pädagogischen Hochschule entsandten Expert*innen. </w:t>
      </w:r>
    </w:p>
    <w:p w14:paraId="6D4E24A8" w14:textId="77777777" w:rsidR="002877F0" w:rsidRDefault="000A58E8">
      <w:pPr>
        <w:spacing w:after="44"/>
        <w:ind w:left="389"/>
      </w:pPr>
      <w:r>
        <w:t>Für einen Beschluss der Prüfungskommission sind die Anwesenheit aller Mitglieder sowie die Mehrhe</w:t>
      </w:r>
      <w:r>
        <w:t xml:space="preserve">it der abgegebenen Stimmen erforderlich. Stimmenthaltungen sind unzulässig. </w:t>
      </w:r>
    </w:p>
    <w:p w14:paraId="69E12163" w14:textId="77777777" w:rsidR="002877F0" w:rsidRDefault="000A58E8">
      <w:pPr>
        <w:numPr>
          <w:ilvl w:val="0"/>
          <w:numId w:val="1"/>
        </w:numPr>
        <w:spacing w:after="44"/>
        <w:ind w:hanging="360"/>
      </w:pPr>
      <w:r>
        <w:t>Über die Durchführung jeder Teilprüfung ist ein Prüfungsprotokoll anzufertigen, das Daten der Prüfer*innen, Daten der Prüfungskandidat*innen, Aufgabenstellung, Beschreibung der Le</w:t>
      </w:r>
      <w:r>
        <w:t xml:space="preserve">istung und die Beurteilungen zu enthalten hat. </w:t>
      </w:r>
    </w:p>
    <w:p w14:paraId="7CCAC394" w14:textId="77777777" w:rsidR="002877F0" w:rsidRDefault="000A58E8">
      <w:pPr>
        <w:numPr>
          <w:ilvl w:val="0"/>
          <w:numId w:val="1"/>
        </w:numPr>
        <w:spacing w:after="41"/>
        <w:ind w:hanging="360"/>
      </w:pPr>
      <w:r>
        <w:t xml:space="preserve">Nach negativer Beurteilung der letzten zulässigen Wiederholung erlischt die Zulassung zur Studienberechtigungsprüfung für die angestrebte Studienrichtungsgruppe. Eine </w:t>
      </w:r>
      <w:r>
        <w:lastRenderedPageBreak/>
        <w:t>neuerliche Zulassung zur Studienberechtig</w:t>
      </w:r>
      <w:r>
        <w:t xml:space="preserve">ungsprüfung für diese Studienrichtungsgruppe an der betreffenden Pädagogischen Hochschule ist ausgeschlossen.  </w:t>
      </w:r>
    </w:p>
    <w:p w14:paraId="09BE0532" w14:textId="77777777" w:rsidR="002877F0" w:rsidRDefault="000A58E8">
      <w:pPr>
        <w:numPr>
          <w:ilvl w:val="0"/>
          <w:numId w:val="1"/>
        </w:numPr>
        <w:ind w:hanging="360"/>
      </w:pPr>
      <w:r>
        <w:t xml:space="preserve">Die Studienberechtigungsprüfung gilt als absolviert, wenn alle fünf Teilprüfungen positiv abgeschlossen wurden. </w:t>
      </w:r>
    </w:p>
    <w:tbl>
      <w:tblPr>
        <w:tblStyle w:val="TableGrid"/>
        <w:tblW w:w="9537" w:type="dxa"/>
        <w:tblInd w:w="-60" w:type="dxa"/>
        <w:tblCellMar>
          <w:top w:w="40" w:type="dxa"/>
          <w:left w:w="62" w:type="dxa"/>
          <w:bottom w:w="111" w:type="dxa"/>
          <w:right w:w="78" w:type="dxa"/>
        </w:tblCellMar>
        <w:tblLook w:val="04A0" w:firstRow="1" w:lastRow="0" w:firstColumn="1" w:lastColumn="0" w:noHBand="0" w:noVBand="1"/>
      </w:tblPr>
      <w:tblGrid>
        <w:gridCol w:w="3036"/>
        <w:gridCol w:w="3656"/>
        <w:gridCol w:w="1414"/>
        <w:gridCol w:w="1431"/>
      </w:tblGrid>
      <w:tr w:rsidR="002877F0" w14:paraId="556A84B3" w14:textId="77777777">
        <w:trPr>
          <w:trHeight w:val="917"/>
        </w:trPr>
        <w:tc>
          <w:tcPr>
            <w:tcW w:w="3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DA0F87" w14:textId="77777777" w:rsidR="002877F0" w:rsidRDefault="000A58E8">
            <w:pPr>
              <w:spacing w:after="178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6652A4E4" wp14:editId="0B8CB6DE">
                  <wp:extent cx="1762125" cy="377190"/>
                  <wp:effectExtent l="0" t="0" r="0" b="0"/>
                  <wp:docPr id="514" name="Pictur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28902" w14:textId="77777777" w:rsidR="002877F0" w:rsidRDefault="000A58E8">
            <w:pPr>
              <w:spacing w:after="0" w:line="259" w:lineRule="auto"/>
              <w:ind w:left="24" w:firstLine="0"/>
            </w:pPr>
            <w:r>
              <w:t xml:space="preserve"> </w:t>
            </w:r>
          </w:p>
        </w:tc>
        <w:tc>
          <w:tcPr>
            <w:tcW w:w="36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ED8D6" w14:textId="77777777" w:rsidR="002877F0" w:rsidRDefault="000A58E8">
            <w:pPr>
              <w:spacing w:after="0" w:line="259" w:lineRule="auto"/>
              <w:ind w:left="120" w:firstLine="0"/>
            </w:pPr>
            <w:r>
              <w:rPr>
                <w:sz w:val="40"/>
              </w:rPr>
              <w:t xml:space="preserve">Rektoratsbeschluss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14BAD" w14:textId="77777777" w:rsidR="002877F0" w:rsidRDefault="000A58E8">
            <w:pPr>
              <w:spacing w:after="75" w:line="259" w:lineRule="auto"/>
              <w:ind w:left="32" w:firstLine="0"/>
            </w:pPr>
            <w:r>
              <w:rPr>
                <w:sz w:val="20"/>
              </w:rPr>
              <w:t>Dokument</w:t>
            </w:r>
            <w:r>
              <w:t xml:space="preserve"> </w:t>
            </w:r>
          </w:p>
          <w:p w14:paraId="2CF1260F" w14:textId="77777777" w:rsidR="002877F0" w:rsidRDefault="000A58E8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>III.5.2-010-03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DCAD1" w14:textId="77777777" w:rsidR="002877F0" w:rsidRDefault="000A58E8">
            <w:pPr>
              <w:spacing w:after="0" w:line="259" w:lineRule="auto"/>
              <w:ind w:left="584" w:right="413" w:hanging="552"/>
            </w:pPr>
            <w:proofErr w:type="gramStart"/>
            <w:r>
              <w:rPr>
                <w:sz w:val="20"/>
              </w:rPr>
              <w:t xml:space="preserve">Version  </w:t>
            </w:r>
            <w:r>
              <w:t>A</w:t>
            </w:r>
            <w:proofErr w:type="gramEnd"/>
            <w:r>
              <w:t xml:space="preserve"> </w:t>
            </w:r>
          </w:p>
        </w:tc>
      </w:tr>
      <w:tr w:rsidR="002877F0" w14:paraId="406F4DB2" w14:textId="77777777">
        <w:trPr>
          <w:trHeight w:val="8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9985" w14:textId="77777777" w:rsidR="002877F0" w:rsidRDefault="002877F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B82FF" w14:textId="77777777" w:rsidR="002877F0" w:rsidRDefault="002877F0">
            <w:pPr>
              <w:spacing w:after="160" w:line="259" w:lineRule="auto"/>
              <w:ind w:left="0" w:firstLine="0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D37E5" w14:textId="77777777" w:rsidR="002877F0" w:rsidRDefault="000A58E8">
            <w:pPr>
              <w:spacing w:after="0" w:line="259" w:lineRule="auto"/>
              <w:ind w:left="128" w:firstLine="0"/>
            </w:pPr>
            <w:r>
              <w:rPr>
                <w:sz w:val="22"/>
              </w:rPr>
              <w:t>2024-12-07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61C11" w14:textId="77777777" w:rsidR="002877F0" w:rsidRDefault="000A58E8">
            <w:pPr>
              <w:spacing w:after="37" w:line="259" w:lineRule="auto"/>
              <w:ind w:left="24" w:firstLine="0"/>
            </w:pPr>
            <w:r>
              <w:rPr>
                <w:sz w:val="18"/>
              </w:rPr>
              <w:t xml:space="preserve"> </w:t>
            </w:r>
          </w:p>
          <w:p w14:paraId="17FF83C8" w14:textId="77777777" w:rsidR="002877F0" w:rsidRDefault="000A58E8">
            <w:pPr>
              <w:spacing w:after="0" w:line="259" w:lineRule="auto"/>
              <w:ind w:left="24" w:firstLine="0"/>
            </w:pPr>
            <w:r>
              <w:rPr>
                <w:sz w:val="22"/>
              </w:rPr>
              <w:t>Seite 2 von 3</w:t>
            </w:r>
            <w:r>
              <w:rPr>
                <w:sz w:val="18"/>
              </w:rPr>
              <w:t xml:space="preserve"> </w:t>
            </w:r>
          </w:p>
        </w:tc>
      </w:tr>
    </w:tbl>
    <w:p w14:paraId="09048ECB" w14:textId="77777777" w:rsidR="002877F0" w:rsidRDefault="000A58E8">
      <w:pPr>
        <w:spacing w:after="52" w:line="259" w:lineRule="auto"/>
        <w:ind w:left="398" w:firstLine="0"/>
      </w:pPr>
      <w:r>
        <w:t xml:space="preserve"> </w:t>
      </w:r>
    </w:p>
    <w:p w14:paraId="0EE6AF28" w14:textId="77777777" w:rsidR="002877F0" w:rsidRDefault="000A58E8">
      <w:pPr>
        <w:numPr>
          <w:ilvl w:val="0"/>
          <w:numId w:val="1"/>
        </w:numPr>
        <w:spacing w:after="273"/>
        <w:ind w:hanging="360"/>
      </w:pPr>
      <w:r>
        <w:t xml:space="preserve">Prüfungsanforderungen in den jeweiligen Prüfungsgebieten: </w:t>
      </w:r>
    </w:p>
    <w:p w14:paraId="42DA47DB" w14:textId="77777777" w:rsidR="002877F0" w:rsidRDefault="000A58E8">
      <w:pPr>
        <w:spacing w:after="0" w:line="259" w:lineRule="auto"/>
        <w:ind w:left="77"/>
      </w:pPr>
      <w:r>
        <w:t xml:space="preserve">a) </w:t>
      </w:r>
      <w:r>
        <w:rPr>
          <w:u w:val="single" w:color="000000"/>
        </w:rPr>
        <w:t>Pflichtfächer:</w:t>
      </w:r>
      <w:r>
        <w:t xml:space="preserve"> </w:t>
      </w:r>
    </w:p>
    <w:p w14:paraId="4B036A7C" w14:textId="77777777" w:rsidR="002877F0" w:rsidRDefault="000A58E8">
      <w:pPr>
        <w:spacing w:after="33"/>
        <w:ind w:left="389"/>
      </w:pPr>
      <w:r>
        <w:t xml:space="preserve">Die Pflichtfächer bestehen aus einer schriftlichen Arbeit über ein allgemeines Thema, Englisch, Mathematik sowie Geschichte und Politische Bildung. </w:t>
      </w:r>
    </w:p>
    <w:p w14:paraId="5D18ED4A" w14:textId="77777777" w:rsidR="002877F0" w:rsidRDefault="000A58E8">
      <w:pPr>
        <w:spacing w:after="80" w:line="259" w:lineRule="auto"/>
        <w:ind w:left="379" w:firstLine="0"/>
      </w:pPr>
      <w:r>
        <w:t xml:space="preserve"> </w:t>
      </w:r>
    </w:p>
    <w:p w14:paraId="20540C59" w14:textId="77777777" w:rsidR="002877F0" w:rsidRDefault="000A58E8">
      <w:pPr>
        <w:ind w:left="1027" w:right="523" w:hanging="360"/>
      </w:pPr>
      <w:r>
        <w:t>1)</w:t>
      </w:r>
      <w:r>
        <w:rPr>
          <w:rFonts w:ascii="Arial" w:eastAsia="Arial" w:hAnsi="Arial" w:cs="Arial"/>
        </w:rPr>
        <w:t xml:space="preserve"> </w:t>
      </w:r>
      <w:r>
        <w:t>Prüfungsgebiet „</w:t>
      </w:r>
      <w:r>
        <w:t>Arbeit über ein allgemeines Thema</w:t>
      </w:r>
      <w:r>
        <w:t>“</w:t>
      </w:r>
      <w:r>
        <w:t xml:space="preserve"> (schriftliche Prüfung)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Die inhaltlichen Anforderu</w:t>
      </w:r>
      <w:r>
        <w:t xml:space="preserve">ngen orientieren sich am Lehrplan der 12. bzw.  </w:t>
      </w:r>
    </w:p>
    <w:p w14:paraId="536A6B5A" w14:textId="77777777" w:rsidR="002877F0" w:rsidRDefault="000A58E8">
      <w:pPr>
        <w:spacing w:after="43"/>
        <w:ind w:left="1397"/>
      </w:pPr>
      <w:r>
        <w:t xml:space="preserve">13. Schulstufe. </w:t>
      </w:r>
    </w:p>
    <w:p w14:paraId="34A53E4D" w14:textId="77777777" w:rsidR="002877F0" w:rsidRDefault="000A58E8">
      <w:pPr>
        <w:numPr>
          <w:ilvl w:val="0"/>
          <w:numId w:val="2"/>
        </w:numPr>
        <w:spacing w:after="41"/>
        <w:ind w:hanging="360"/>
      </w:pPr>
      <w:r>
        <w:t xml:space="preserve">Drei Themen (eines davon mit geschichtlichem/gesellschaftlichem Österreichbezug) stehen zur Wahl. </w:t>
      </w:r>
    </w:p>
    <w:p w14:paraId="4253EB4F" w14:textId="77777777" w:rsidR="002877F0" w:rsidRDefault="000A58E8">
      <w:pPr>
        <w:numPr>
          <w:ilvl w:val="0"/>
          <w:numId w:val="2"/>
        </w:numPr>
        <w:spacing w:after="44"/>
        <w:ind w:hanging="360"/>
      </w:pPr>
      <w:r>
        <w:t xml:space="preserve">Es ist eine schriftliche Arbeit in korrekt angewandter Hochsprache zu verfassen. </w:t>
      </w:r>
    </w:p>
    <w:p w14:paraId="28771FA6" w14:textId="77777777" w:rsidR="002877F0" w:rsidRDefault="000A58E8">
      <w:pPr>
        <w:numPr>
          <w:ilvl w:val="0"/>
          <w:numId w:val="2"/>
        </w:numPr>
        <w:ind w:hanging="360"/>
      </w:pPr>
      <w:r>
        <w:t xml:space="preserve">Arbeitszeit: 4 Stunden (240 Minuten)  </w:t>
      </w:r>
    </w:p>
    <w:p w14:paraId="7D05F6FF" w14:textId="77777777" w:rsidR="002877F0" w:rsidRDefault="000A58E8">
      <w:pPr>
        <w:numPr>
          <w:ilvl w:val="0"/>
          <w:numId w:val="2"/>
        </w:numPr>
        <w:ind w:hanging="360"/>
      </w:pPr>
      <w:r>
        <w:t>Mindestumfang der Arbeit: 700 Wörter</w:t>
      </w:r>
      <w:r>
        <w:t xml:space="preserve"> handschriftlich in Schreibschrift  </w:t>
      </w:r>
    </w:p>
    <w:p w14:paraId="68E190B7" w14:textId="77777777" w:rsidR="002877F0" w:rsidRDefault="000A58E8">
      <w:pPr>
        <w:numPr>
          <w:ilvl w:val="0"/>
          <w:numId w:val="2"/>
        </w:numPr>
        <w:spacing w:after="57"/>
        <w:ind w:hanging="360"/>
      </w:pPr>
      <w:r>
        <w:t xml:space="preserve">Bei der Prüfung können ein Wörterbuch sowie ausgewählte Unterlagen aus dem Vorbereitungskurs verwendet werden. </w:t>
      </w:r>
    </w:p>
    <w:p w14:paraId="3079B4E4" w14:textId="77777777" w:rsidR="002877F0" w:rsidRDefault="000A58E8">
      <w:pPr>
        <w:spacing w:after="102" w:line="259" w:lineRule="auto"/>
        <w:ind w:left="29" w:firstLine="0"/>
      </w:pPr>
      <w:r>
        <w:t xml:space="preserve"> </w:t>
      </w:r>
    </w:p>
    <w:p w14:paraId="481D64B2" w14:textId="77777777" w:rsidR="002877F0" w:rsidRDefault="000A58E8">
      <w:pPr>
        <w:pStyle w:val="berschrift1"/>
        <w:ind w:left="1012" w:hanging="360"/>
      </w:pPr>
      <w:r>
        <w:t>Prüfungsgebiet „Englisch“</w:t>
      </w:r>
      <w:r>
        <w:t xml:space="preserve"> (schriftliche Prüfung) </w:t>
      </w:r>
    </w:p>
    <w:p w14:paraId="2AACE0A6" w14:textId="77777777" w:rsidR="002877F0" w:rsidRDefault="000A58E8">
      <w:pPr>
        <w:numPr>
          <w:ilvl w:val="0"/>
          <w:numId w:val="3"/>
        </w:numPr>
        <w:spacing w:after="41"/>
        <w:ind w:hanging="360"/>
      </w:pPr>
      <w:r>
        <w:t>Die inhaltlichen Anforderungen orientieren sich am Lehr</w:t>
      </w:r>
      <w:r>
        <w:t xml:space="preserve">plan der 12. bzw. 13. Schulstufe. </w:t>
      </w:r>
    </w:p>
    <w:p w14:paraId="45330DEE" w14:textId="77777777" w:rsidR="002877F0" w:rsidRDefault="000A58E8">
      <w:pPr>
        <w:numPr>
          <w:ilvl w:val="0"/>
          <w:numId w:val="3"/>
        </w:numPr>
        <w:spacing w:after="41"/>
        <w:ind w:hanging="360"/>
      </w:pPr>
      <w:r>
        <w:t xml:space="preserve">Die Prüfung besteht </w:t>
      </w:r>
      <w:proofErr w:type="gramStart"/>
      <w:r>
        <w:t>aus folgenden</w:t>
      </w:r>
      <w:proofErr w:type="gramEnd"/>
      <w:r>
        <w:t xml:space="preserve"> Teilen: Listening </w:t>
      </w:r>
      <w:proofErr w:type="spellStart"/>
      <w:r>
        <w:t>Comprehension</w:t>
      </w:r>
      <w:proofErr w:type="spellEnd"/>
      <w:r>
        <w:t xml:space="preserve">, Reading </w:t>
      </w:r>
      <w:proofErr w:type="spellStart"/>
      <w:r>
        <w:t>Comprehension</w:t>
      </w:r>
      <w:proofErr w:type="spellEnd"/>
      <w:r>
        <w:t xml:space="preserve">, Writing  </w:t>
      </w:r>
    </w:p>
    <w:p w14:paraId="52AA4431" w14:textId="77777777" w:rsidR="002877F0" w:rsidRDefault="000A58E8">
      <w:pPr>
        <w:numPr>
          <w:ilvl w:val="0"/>
          <w:numId w:val="3"/>
        </w:numPr>
        <w:ind w:hanging="360"/>
      </w:pPr>
      <w:r>
        <w:t xml:space="preserve">Arbeitszeit: 4 Stunden (240 Minuten) handschriftlich in Schreibschrift </w:t>
      </w:r>
    </w:p>
    <w:p w14:paraId="6906F8BF" w14:textId="77777777" w:rsidR="002877F0" w:rsidRDefault="000A58E8">
      <w:pPr>
        <w:numPr>
          <w:ilvl w:val="0"/>
          <w:numId w:val="3"/>
        </w:numPr>
        <w:ind w:hanging="360"/>
      </w:pPr>
      <w:r>
        <w:t>Bei der Prüfung können Wörterbücher sowie ausgewä</w:t>
      </w:r>
      <w:r>
        <w:t xml:space="preserve">hlte Unterlagen aus dem Vorbereitungskurs verwendet werden. </w:t>
      </w:r>
    </w:p>
    <w:p w14:paraId="4B819546" w14:textId="77777777" w:rsidR="002877F0" w:rsidRDefault="000A58E8">
      <w:pPr>
        <w:spacing w:after="37" w:line="259" w:lineRule="auto"/>
        <w:ind w:left="1387" w:firstLine="0"/>
      </w:pPr>
      <w:r>
        <w:t xml:space="preserve"> </w:t>
      </w:r>
    </w:p>
    <w:p w14:paraId="454868C2" w14:textId="77777777" w:rsidR="002877F0" w:rsidRDefault="000A58E8">
      <w:pPr>
        <w:pStyle w:val="berschrift1"/>
        <w:ind w:left="1012" w:hanging="360"/>
      </w:pPr>
      <w:r>
        <w:t>Prüfungsgebiet „Mathematik“</w:t>
      </w:r>
      <w:r>
        <w:t xml:space="preserve"> (schriftliche Prüfung) </w:t>
      </w:r>
    </w:p>
    <w:p w14:paraId="05E7BB83" w14:textId="77777777" w:rsidR="002877F0" w:rsidRDefault="000A58E8">
      <w:pPr>
        <w:numPr>
          <w:ilvl w:val="0"/>
          <w:numId w:val="4"/>
        </w:numPr>
        <w:ind w:hanging="360"/>
      </w:pPr>
      <w:r>
        <w:t xml:space="preserve">Die inhaltlichen Anforderungen orientieren sich am Lehrplan der 12. bzw. 13. </w:t>
      </w:r>
    </w:p>
    <w:p w14:paraId="26114CAF" w14:textId="77777777" w:rsidR="002877F0" w:rsidRDefault="000A58E8">
      <w:pPr>
        <w:spacing w:after="58"/>
        <w:ind w:left="1397"/>
      </w:pPr>
      <w:r>
        <w:t xml:space="preserve">Schulstufe.  </w:t>
      </w:r>
    </w:p>
    <w:p w14:paraId="00B7A2FB" w14:textId="77777777" w:rsidR="002877F0" w:rsidRDefault="000A58E8">
      <w:pPr>
        <w:numPr>
          <w:ilvl w:val="0"/>
          <w:numId w:val="4"/>
        </w:numPr>
        <w:ind w:hanging="360"/>
      </w:pPr>
      <w:r>
        <w:lastRenderedPageBreak/>
        <w:t xml:space="preserve">Arbeitszeit: 4 Stunden (240 Minuten) </w:t>
      </w:r>
    </w:p>
    <w:p w14:paraId="1FF41CA6" w14:textId="77777777" w:rsidR="002877F0" w:rsidRDefault="000A58E8">
      <w:pPr>
        <w:numPr>
          <w:ilvl w:val="0"/>
          <w:numId w:val="4"/>
        </w:numPr>
        <w:ind w:hanging="360"/>
      </w:pPr>
      <w:r>
        <w:t xml:space="preserve">Bei der Prüfung kann eine Formelsammlung aus dem Vorbereitungskurs verwendet werden. </w:t>
      </w:r>
    </w:p>
    <w:p w14:paraId="72FBDF40" w14:textId="77777777" w:rsidR="002877F0" w:rsidRDefault="000A58E8">
      <w:pPr>
        <w:spacing w:after="52" w:line="259" w:lineRule="auto"/>
        <w:ind w:left="1387" w:firstLine="0"/>
      </w:pPr>
      <w:r>
        <w:t xml:space="preserve"> </w:t>
      </w:r>
    </w:p>
    <w:p w14:paraId="43B08283" w14:textId="77777777" w:rsidR="002877F0" w:rsidRDefault="000A58E8">
      <w:pPr>
        <w:ind w:left="787" w:right="589" w:hanging="120"/>
      </w:pPr>
      <w:r>
        <w:t>4)</w:t>
      </w:r>
      <w:r>
        <w:rPr>
          <w:rFonts w:ascii="Arial" w:eastAsia="Arial" w:hAnsi="Arial" w:cs="Arial"/>
        </w:rPr>
        <w:t xml:space="preserve"> </w:t>
      </w:r>
      <w:r>
        <w:t>Prüfungsgebiet „Geschichte und Politische Bildung“</w:t>
      </w:r>
      <w:r>
        <w:t xml:space="preserve"> (mündliche Prüfung) Die inhaltlichen Anforderungen orientieren sich am Lehrp</w:t>
      </w:r>
      <w:r>
        <w:t xml:space="preserve">lan der 12. bzw. 13. </w:t>
      </w:r>
    </w:p>
    <w:p w14:paraId="658BBF2B" w14:textId="77777777" w:rsidR="002877F0" w:rsidRDefault="000A58E8">
      <w:pPr>
        <w:tabs>
          <w:tab w:val="center" w:pos="1325"/>
          <w:tab w:val="center" w:pos="4796"/>
        </w:tabs>
        <w:ind w:left="0" w:firstLine="0"/>
      </w:pPr>
      <w:r>
        <w:rPr>
          <w:color w:val="000000"/>
          <w:sz w:val="22"/>
        </w:rPr>
        <w:tab/>
      </w:r>
      <w:r>
        <w:t xml:space="preserve">Schulstufe.  </w:t>
      </w:r>
      <w:r>
        <w:tab/>
        <w:t xml:space="preserve"> </w:t>
      </w:r>
    </w:p>
    <w:tbl>
      <w:tblPr>
        <w:tblStyle w:val="TableGrid"/>
        <w:tblW w:w="9537" w:type="dxa"/>
        <w:tblInd w:w="-60" w:type="dxa"/>
        <w:tblCellMar>
          <w:top w:w="40" w:type="dxa"/>
          <w:left w:w="62" w:type="dxa"/>
          <w:bottom w:w="111" w:type="dxa"/>
          <w:right w:w="78" w:type="dxa"/>
        </w:tblCellMar>
        <w:tblLook w:val="04A0" w:firstRow="1" w:lastRow="0" w:firstColumn="1" w:lastColumn="0" w:noHBand="0" w:noVBand="1"/>
      </w:tblPr>
      <w:tblGrid>
        <w:gridCol w:w="3036"/>
        <w:gridCol w:w="3656"/>
        <w:gridCol w:w="1414"/>
        <w:gridCol w:w="1431"/>
      </w:tblGrid>
      <w:tr w:rsidR="002877F0" w14:paraId="3E58D182" w14:textId="77777777">
        <w:trPr>
          <w:trHeight w:val="917"/>
        </w:trPr>
        <w:tc>
          <w:tcPr>
            <w:tcW w:w="3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31BDD2" w14:textId="77777777" w:rsidR="002877F0" w:rsidRDefault="000A58E8">
            <w:pPr>
              <w:spacing w:after="178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05015AD" wp14:editId="0B5C5C14">
                  <wp:extent cx="1762125" cy="377190"/>
                  <wp:effectExtent l="0" t="0" r="0" b="0"/>
                  <wp:docPr id="690" name="Picture 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BFC07" w14:textId="77777777" w:rsidR="002877F0" w:rsidRDefault="000A58E8">
            <w:pPr>
              <w:spacing w:after="0" w:line="259" w:lineRule="auto"/>
              <w:ind w:left="24" w:firstLine="0"/>
            </w:pPr>
            <w:r>
              <w:t xml:space="preserve"> </w:t>
            </w:r>
          </w:p>
        </w:tc>
        <w:tc>
          <w:tcPr>
            <w:tcW w:w="36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0711B" w14:textId="77777777" w:rsidR="002877F0" w:rsidRDefault="000A58E8">
            <w:pPr>
              <w:spacing w:after="0" w:line="259" w:lineRule="auto"/>
              <w:ind w:left="120" w:firstLine="0"/>
            </w:pPr>
            <w:r>
              <w:rPr>
                <w:sz w:val="40"/>
              </w:rPr>
              <w:t xml:space="preserve">Rektoratsbeschluss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00D79" w14:textId="77777777" w:rsidR="002877F0" w:rsidRDefault="000A58E8">
            <w:pPr>
              <w:spacing w:after="75" w:line="259" w:lineRule="auto"/>
              <w:ind w:left="32" w:firstLine="0"/>
            </w:pPr>
            <w:r>
              <w:rPr>
                <w:sz w:val="20"/>
              </w:rPr>
              <w:t>Dokument</w:t>
            </w:r>
            <w:r>
              <w:t xml:space="preserve"> </w:t>
            </w:r>
          </w:p>
          <w:p w14:paraId="7BA1ADAD" w14:textId="77777777" w:rsidR="002877F0" w:rsidRDefault="000A58E8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>III.5.2-010-03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0B412" w14:textId="77777777" w:rsidR="002877F0" w:rsidRDefault="000A58E8">
            <w:pPr>
              <w:spacing w:after="0" w:line="259" w:lineRule="auto"/>
              <w:ind w:left="584" w:right="413" w:hanging="552"/>
            </w:pPr>
            <w:proofErr w:type="gramStart"/>
            <w:r>
              <w:rPr>
                <w:sz w:val="20"/>
              </w:rPr>
              <w:t xml:space="preserve">Version  </w:t>
            </w:r>
            <w:r>
              <w:t>A</w:t>
            </w:r>
            <w:proofErr w:type="gramEnd"/>
            <w:r>
              <w:t xml:space="preserve"> </w:t>
            </w:r>
          </w:p>
        </w:tc>
      </w:tr>
      <w:tr w:rsidR="002877F0" w14:paraId="221D625D" w14:textId="77777777">
        <w:trPr>
          <w:trHeight w:val="8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4031" w14:textId="77777777" w:rsidR="002877F0" w:rsidRDefault="002877F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D7B15" w14:textId="77777777" w:rsidR="002877F0" w:rsidRDefault="002877F0">
            <w:pPr>
              <w:spacing w:after="160" w:line="259" w:lineRule="auto"/>
              <w:ind w:left="0" w:firstLine="0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7A207" w14:textId="77777777" w:rsidR="002877F0" w:rsidRDefault="000A58E8">
            <w:pPr>
              <w:spacing w:after="0" w:line="259" w:lineRule="auto"/>
              <w:ind w:left="128" w:firstLine="0"/>
            </w:pPr>
            <w:r>
              <w:rPr>
                <w:sz w:val="22"/>
              </w:rPr>
              <w:t>2024-12-07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FD8BB" w14:textId="77777777" w:rsidR="002877F0" w:rsidRDefault="000A58E8">
            <w:pPr>
              <w:spacing w:after="37" w:line="259" w:lineRule="auto"/>
              <w:ind w:left="24" w:firstLine="0"/>
            </w:pPr>
            <w:r>
              <w:rPr>
                <w:sz w:val="18"/>
              </w:rPr>
              <w:t xml:space="preserve"> </w:t>
            </w:r>
          </w:p>
          <w:p w14:paraId="52DA773E" w14:textId="77777777" w:rsidR="002877F0" w:rsidRDefault="000A58E8">
            <w:pPr>
              <w:spacing w:after="0" w:line="259" w:lineRule="auto"/>
              <w:ind w:left="75" w:firstLine="0"/>
            </w:pPr>
            <w:r>
              <w:rPr>
                <w:sz w:val="22"/>
              </w:rPr>
              <w:t>Seite 3 von 3</w:t>
            </w:r>
            <w:r>
              <w:rPr>
                <w:sz w:val="18"/>
              </w:rPr>
              <w:t xml:space="preserve"> </w:t>
            </w:r>
          </w:p>
        </w:tc>
      </w:tr>
    </w:tbl>
    <w:p w14:paraId="5C533F48" w14:textId="77777777" w:rsidR="002877F0" w:rsidRDefault="000A58E8">
      <w:pPr>
        <w:spacing w:after="17" w:line="259" w:lineRule="auto"/>
        <w:ind w:left="787" w:firstLine="0"/>
      </w:pPr>
      <w:r>
        <w:t xml:space="preserve"> </w:t>
      </w:r>
    </w:p>
    <w:p w14:paraId="00AFA186" w14:textId="77777777" w:rsidR="002877F0" w:rsidRDefault="000A58E8">
      <w:pPr>
        <w:spacing w:after="0" w:line="259" w:lineRule="auto"/>
        <w:ind w:left="77"/>
      </w:pPr>
      <w:r>
        <w:t xml:space="preserve">b) </w:t>
      </w:r>
      <w:r>
        <w:rPr>
          <w:u w:val="single" w:color="000000"/>
        </w:rPr>
        <w:t>Wahlfach:</w:t>
      </w:r>
      <w:r>
        <w:t xml:space="preserve"> </w:t>
      </w:r>
    </w:p>
    <w:p w14:paraId="6CD44886" w14:textId="77777777" w:rsidR="002877F0" w:rsidRDefault="000A58E8">
      <w:pPr>
        <w:ind w:left="442"/>
      </w:pPr>
      <w:r>
        <w:t xml:space="preserve">Aus den vorgegebenen Wahlfächern (Pädagogik, Biologie) ist verpflichtend eines zu wählen. Die Prüfung erfolgt mündlich, die inhaltlichen Anforderungen werden </w:t>
      </w:r>
      <w:proofErr w:type="gramStart"/>
      <w:r>
        <w:t>von den Prüfer</w:t>
      </w:r>
      <w:proofErr w:type="gramEnd"/>
      <w:r>
        <w:t xml:space="preserve">*innen bekanntgegeben.  </w:t>
      </w:r>
    </w:p>
    <w:p w14:paraId="26EF3B63" w14:textId="77777777" w:rsidR="002877F0" w:rsidRDefault="000A58E8">
      <w:pPr>
        <w:spacing w:after="22" w:line="259" w:lineRule="auto"/>
        <w:ind w:left="0" w:firstLine="0"/>
      </w:pPr>
      <w:r>
        <w:t xml:space="preserve"> </w:t>
      </w:r>
    </w:p>
    <w:p w14:paraId="42C609F9" w14:textId="77777777" w:rsidR="002877F0" w:rsidRDefault="000A58E8">
      <w:pPr>
        <w:ind w:left="39"/>
      </w:pPr>
      <w:r>
        <w:t xml:space="preserve">Ad mündliche Prüfungen: </w:t>
      </w:r>
    </w:p>
    <w:p w14:paraId="42797A76" w14:textId="77777777" w:rsidR="002877F0" w:rsidRDefault="000A58E8">
      <w:pPr>
        <w:ind w:left="39"/>
      </w:pPr>
      <w:r>
        <w:t xml:space="preserve">Alle mündlichen Prüfungen sind mit höchstens 30 Minuten zu begrenzen. Jede mündliche Prüfung besteht aus mindestens zwei Fragen. </w:t>
      </w:r>
    </w:p>
    <w:p w14:paraId="495BD503" w14:textId="77777777" w:rsidR="002877F0" w:rsidRDefault="000A58E8">
      <w:pPr>
        <w:spacing w:after="56" w:line="259" w:lineRule="auto"/>
        <w:ind w:left="29" w:firstLine="0"/>
      </w:pPr>
      <w:r>
        <w:t xml:space="preserve"> </w:t>
      </w:r>
    </w:p>
    <w:p w14:paraId="6307AD41" w14:textId="77777777" w:rsidR="002877F0" w:rsidRDefault="000A58E8">
      <w:pPr>
        <w:ind w:left="39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Abmeldung von einem Prüfungstermin: </w:t>
      </w:r>
    </w:p>
    <w:p w14:paraId="388E764C" w14:textId="77777777" w:rsidR="002877F0" w:rsidRDefault="000A58E8">
      <w:pPr>
        <w:ind w:left="389"/>
      </w:pPr>
      <w:r>
        <w:t>Melden sich Prüfungswerber*innen bei Verhinderung nicht bis spätestens drei Tage vo</w:t>
      </w:r>
      <w:r>
        <w:t xml:space="preserve">r dem kundgemachten Prüfungstermin (auch ohne Nennung von Gründen) ab, erfolgt eine Sperrung für den darauffolgenden Prüfungstermin.  </w:t>
      </w:r>
    </w:p>
    <w:p w14:paraId="4C5D19BA" w14:textId="77777777" w:rsidR="002877F0" w:rsidRDefault="000A58E8">
      <w:pPr>
        <w:ind w:left="389"/>
      </w:pPr>
      <w:r>
        <w:t>In Fällen, in denen eine rechtzeitige Abmeldung nicht möglich ist (etwa bei einem Unfall oder bei plötzlicher, schwerer E</w:t>
      </w:r>
      <w:r>
        <w:t xml:space="preserve">rkrankung) ist eine amtliche oder institutionelle Bestätigung vorzulegen, anderenfalls erfolgt eine Sperrung für den darauffolgenden Prüfungstermin. </w:t>
      </w:r>
    </w:p>
    <w:p w14:paraId="2AB0BF6D" w14:textId="77777777" w:rsidR="002877F0" w:rsidRDefault="000A58E8">
      <w:pPr>
        <w:spacing w:after="22" w:line="259" w:lineRule="auto"/>
        <w:ind w:left="379" w:firstLine="0"/>
      </w:pPr>
      <w:r>
        <w:t xml:space="preserve"> </w:t>
      </w:r>
    </w:p>
    <w:p w14:paraId="59AC7DAE" w14:textId="77777777" w:rsidR="002877F0" w:rsidRDefault="000A58E8">
      <w:pPr>
        <w:spacing w:after="20" w:line="259" w:lineRule="auto"/>
        <w:ind w:left="379" w:firstLine="0"/>
      </w:pPr>
      <w:r>
        <w:t xml:space="preserve"> </w:t>
      </w:r>
    </w:p>
    <w:p w14:paraId="495E682F" w14:textId="77777777" w:rsidR="002877F0" w:rsidRDefault="000A58E8">
      <w:pPr>
        <w:spacing w:after="20" w:line="259" w:lineRule="auto"/>
        <w:ind w:left="0" w:firstLine="0"/>
      </w:pPr>
      <w:r>
        <w:t xml:space="preserve"> </w:t>
      </w:r>
    </w:p>
    <w:p w14:paraId="45CFA319" w14:textId="77777777" w:rsidR="002877F0" w:rsidRDefault="000A58E8">
      <w:pPr>
        <w:spacing w:after="21" w:line="259" w:lineRule="auto"/>
        <w:ind w:left="394"/>
        <w:jc w:val="center"/>
      </w:pPr>
      <w:r>
        <w:t xml:space="preserve">Rektorat der PH NÖ </w:t>
      </w:r>
    </w:p>
    <w:p w14:paraId="49B0CF9F" w14:textId="77777777" w:rsidR="002877F0" w:rsidRDefault="000A58E8">
      <w:pPr>
        <w:spacing w:after="21" w:line="259" w:lineRule="auto"/>
        <w:ind w:left="394" w:right="3"/>
        <w:jc w:val="center"/>
      </w:pPr>
      <w:r>
        <w:t xml:space="preserve">Baden, 07.12.2024 </w:t>
      </w:r>
    </w:p>
    <w:p w14:paraId="1F19E2ED" w14:textId="77777777" w:rsidR="002877F0" w:rsidRDefault="000A58E8">
      <w:pPr>
        <w:spacing w:after="0" w:line="259" w:lineRule="auto"/>
        <w:ind w:left="0" w:right="883" w:firstLine="0"/>
        <w:jc w:val="center"/>
      </w:pPr>
      <w:r>
        <w:t xml:space="preserve"> </w:t>
      </w:r>
    </w:p>
    <w:sectPr w:rsidR="00287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/>
      <w:pgMar w:top="768" w:right="1504" w:bottom="1520" w:left="133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8FC3" w14:textId="77777777" w:rsidR="00000000" w:rsidRDefault="000A58E8">
      <w:pPr>
        <w:spacing w:after="0" w:line="240" w:lineRule="auto"/>
      </w:pPr>
      <w:r>
        <w:separator/>
      </w:r>
    </w:p>
  </w:endnote>
  <w:endnote w:type="continuationSeparator" w:id="0">
    <w:p w14:paraId="45A3ADD0" w14:textId="77777777" w:rsidR="00000000" w:rsidRDefault="000A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2CFB" w14:textId="77777777" w:rsidR="002877F0" w:rsidRDefault="000A58E8">
    <w:pPr>
      <w:spacing w:after="59" w:line="259" w:lineRule="auto"/>
      <w:ind w:left="29" w:firstLine="0"/>
    </w:pPr>
    <w:r>
      <w:rPr>
        <w:color w:val="000000"/>
        <w:sz w:val="16"/>
      </w:rPr>
      <w:t xml:space="preserve">Verantwortet durch: Rektorat                                                                                                                                              Veröffentlicht durch: Polz  </w:t>
    </w:r>
  </w:p>
  <w:p w14:paraId="3C9182FC" w14:textId="77777777" w:rsidR="002877F0" w:rsidRDefault="000A58E8">
    <w:pPr>
      <w:spacing w:after="0" w:line="259" w:lineRule="auto"/>
      <w:ind w:left="29" w:firstLine="0"/>
    </w:pPr>
    <w:r>
      <w:rPr>
        <w:color w:val="000000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654B" w14:textId="77777777" w:rsidR="002877F0" w:rsidRDefault="000A58E8">
    <w:pPr>
      <w:spacing w:after="59" w:line="259" w:lineRule="auto"/>
      <w:ind w:left="29" w:firstLine="0"/>
    </w:pPr>
    <w:r>
      <w:rPr>
        <w:color w:val="000000"/>
        <w:sz w:val="16"/>
      </w:rPr>
      <w:t xml:space="preserve">Verantwortet durch: Rektorat                       </w:t>
    </w:r>
    <w:r>
      <w:rPr>
        <w:color w:val="000000"/>
        <w:sz w:val="16"/>
      </w:rPr>
      <w:t xml:space="preserve">                                                                                                                       Veröffentlicht durch: Polz  </w:t>
    </w:r>
  </w:p>
  <w:p w14:paraId="7B51E5E7" w14:textId="77777777" w:rsidR="002877F0" w:rsidRDefault="000A58E8">
    <w:pPr>
      <w:spacing w:after="0" w:line="259" w:lineRule="auto"/>
      <w:ind w:left="29" w:firstLine="0"/>
    </w:pPr>
    <w:r>
      <w:rPr>
        <w:color w:val="000000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119E" w14:textId="77777777" w:rsidR="002877F0" w:rsidRDefault="000A58E8">
    <w:pPr>
      <w:spacing w:after="59" w:line="259" w:lineRule="auto"/>
      <w:ind w:left="29" w:firstLine="0"/>
    </w:pPr>
    <w:r>
      <w:rPr>
        <w:color w:val="000000"/>
        <w:sz w:val="16"/>
      </w:rPr>
      <w:t xml:space="preserve">Verantwortet durch: Rektorat                                                                                                                                              Veröffentlicht durch: Polz  </w:t>
    </w:r>
  </w:p>
  <w:p w14:paraId="44DF85B5" w14:textId="77777777" w:rsidR="002877F0" w:rsidRDefault="000A58E8">
    <w:pPr>
      <w:spacing w:after="0" w:line="259" w:lineRule="auto"/>
      <w:ind w:left="29" w:firstLine="0"/>
    </w:pPr>
    <w:r>
      <w:rPr>
        <w:color w:val="00000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10A7" w14:textId="77777777" w:rsidR="00000000" w:rsidRDefault="000A58E8">
      <w:pPr>
        <w:spacing w:after="0" w:line="240" w:lineRule="auto"/>
      </w:pPr>
      <w:r>
        <w:separator/>
      </w:r>
    </w:p>
  </w:footnote>
  <w:footnote w:type="continuationSeparator" w:id="0">
    <w:p w14:paraId="76D832C1" w14:textId="77777777" w:rsidR="00000000" w:rsidRDefault="000A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6AB7" w14:textId="77777777" w:rsidR="002877F0" w:rsidRDefault="000A58E8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D83DADF" wp14:editId="26708F5B">
              <wp:simplePos x="0" y="0"/>
              <wp:positionH relativeFrom="page">
                <wp:posOffset>5115814</wp:posOffset>
              </wp:positionH>
              <wp:positionV relativeFrom="page">
                <wp:posOffset>781812</wp:posOffset>
              </wp:positionV>
              <wp:extent cx="1289609" cy="51816"/>
              <wp:effectExtent l="0" t="0" r="0" b="0"/>
              <wp:wrapNone/>
              <wp:docPr id="4921" name="Group 4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9609" cy="51816"/>
                        <a:chOff x="0" y="0"/>
                        <a:chExt cx="1289609" cy="51816"/>
                      </a:xfrm>
                    </wpg:grpSpPr>
                    <wps:wsp>
                      <wps:cNvPr id="5105" name="Shape 5105"/>
                      <wps:cNvSpPr/>
                      <wps:spPr>
                        <a:xfrm>
                          <a:off x="0" y="44197"/>
                          <a:ext cx="544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068" h="9144">
                              <a:moveTo>
                                <a:pt x="0" y="0"/>
                              </a:moveTo>
                              <a:lnTo>
                                <a:pt x="544068" y="0"/>
                              </a:lnTo>
                              <a:lnTo>
                                <a:pt x="544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6" name="Shape 5106"/>
                      <wps:cNvSpPr/>
                      <wps:spPr>
                        <a:xfrm>
                          <a:off x="897636" y="0"/>
                          <a:ext cx="3919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973" h="9144">
                              <a:moveTo>
                                <a:pt x="0" y="0"/>
                              </a:moveTo>
                              <a:lnTo>
                                <a:pt x="391973" y="0"/>
                              </a:lnTo>
                              <a:lnTo>
                                <a:pt x="3919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21" style="width:101.544pt;height:4.08002pt;position:absolute;z-index:-2147483648;mso-position-horizontal-relative:page;mso-position-horizontal:absolute;margin-left:402.82pt;mso-position-vertical-relative:page;margin-top:61.56pt;" coordsize="12896,518">
              <v:shape id="Shape 5107" style="position:absolute;width:5440;height:91;left:0;top:441;" coordsize="544068,9144" path="m0,0l544068,0l544068,9144l0,9144l0,0">
                <v:stroke weight="0pt" endcap="flat" joinstyle="miter" miterlimit="10" on="false" color="#000000" opacity="0"/>
                <v:fill on="true" color="#000000"/>
              </v:shape>
              <v:shape id="Shape 5108" style="position:absolute;width:3919;height:91;left:8976;top:0;" coordsize="391973,9144" path="m0,0l391973,0l391973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45F0" w14:textId="77777777" w:rsidR="002877F0" w:rsidRDefault="000A58E8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385094" wp14:editId="56781249">
              <wp:simplePos x="0" y="0"/>
              <wp:positionH relativeFrom="page">
                <wp:posOffset>5115814</wp:posOffset>
              </wp:positionH>
              <wp:positionV relativeFrom="page">
                <wp:posOffset>781812</wp:posOffset>
              </wp:positionV>
              <wp:extent cx="1289609" cy="51816"/>
              <wp:effectExtent l="0" t="0" r="0" b="0"/>
              <wp:wrapNone/>
              <wp:docPr id="4902" name="Group 4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9609" cy="51816"/>
                        <a:chOff x="0" y="0"/>
                        <a:chExt cx="1289609" cy="51816"/>
                      </a:xfrm>
                    </wpg:grpSpPr>
                    <wps:wsp>
                      <wps:cNvPr id="5101" name="Shape 5101"/>
                      <wps:cNvSpPr/>
                      <wps:spPr>
                        <a:xfrm>
                          <a:off x="0" y="44197"/>
                          <a:ext cx="544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068" h="9144">
                              <a:moveTo>
                                <a:pt x="0" y="0"/>
                              </a:moveTo>
                              <a:lnTo>
                                <a:pt x="544068" y="0"/>
                              </a:lnTo>
                              <a:lnTo>
                                <a:pt x="544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2" name="Shape 5102"/>
                      <wps:cNvSpPr/>
                      <wps:spPr>
                        <a:xfrm>
                          <a:off x="897636" y="0"/>
                          <a:ext cx="3919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973" h="9144">
                              <a:moveTo>
                                <a:pt x="0" y="0"/>
                              </a:moveTo>
                              <a:lnTo>
                                <a:pt x="391973" y="0"/>
                              </a:lnTo>
                              <a:lnTo>
                                <a:pt x="3919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02" style="width:101.544pt;height:4.08002pt;position:absolute;z-index:-2147483648;mso-position-horizontal-relative:page;mso-position-horizontal:absolute;margin-left:402.82pt;mso-position-vertical-relative:page;margin-top:61.56pt;" coordsize="12896,518">
              <v:shape id="Shape 5103" style="position:absolute;width:5440;height:91;left:0;top:441;" coordsize="544068,9144" path="m0,0l544068,0l544068,9144l0,9144l0,0">
                <v:stroke weight="0pt" endcap="flat" joinstyle="miter" miterlimit="10" on="false" color="#000000" opacity="0"/>
                <v:fill on="true" color="#000000"/>
              </v:shape>
              <v:shape id="Shape 5104" style="position:absolute;width:3919;height:91;left:8976;top:0;" coordsize="391973,9144" path="m0,0l391973,0l391973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6494" w14:textId="77777777" w:rsidR="002877F0" w:rsidRDefault="000A58E8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7625029" wp14:editId="71AA2655">
              <wp:simplePos x="0" y="0"/>
              <wp:positionH relativeFrom="page">
                <wp:posOffset>5115814</wp:posOffset>
              </wp:positionH>
              <wp:positionV relativeFrom="page">
                <wp:posOffset>781812</wp:posOffset>
              </wp:positionV>
              <wp:extent cx="1289609" cy="51816"/>
              <wp:effectExtent l="0" t="0" r="0" b="0"/>
              <wp:wrapNone/>
              <wp:docPr id="4883" name="Group 4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9609" cy="51816"/>
                        <a:chOff x="0" y="0"/>
                        <a:chExt cx="1289609" cy="51816"/>
                      </a:xfrm>
                    </wpg:grpSpPr>
                    <wps:wsp>
                      <wps:cNvPr id="5097" name="Shape 5097"/>
                      <wps:cNvSpPr/>
                      <wps:spPr>
                        <a:xfrm>
                          <a:off x="0" y="44197"/>
                          <a:ext cx="544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068" h="9144">
                              <a:moveTo>
                                <a:pt x="0" y="0"/>
                              </a:moveTo>
                              <a:lnTo>
                                <a:pt x="544068" y="0"/>
                              </a:lnTo>
                              <a:lnTo>
                                <a:pt x="544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8" name="Shape 5098"/>
                      <wps:cNvSpPr/>
                      <wps:spPr>
                        <a:xfrm>
                          <a:off x="897636" y="0"/>
                          <a:ext cx="3919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973" h="9144">
                              <a:moveTo>
                                <a:pt x="0" y="0"/>
                              </a:moveTo>
                              <a:lnTo>
                                <a:pt x="391973" y="0"/>
                              </a:lnTo>
                              <a:lnTo>
                                <a:pt x="3919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83" style="width:101.544pt;height:4.08002pt;position:absolute;z-index:-2147483648;mso-position-horizontal-relative:page;mso-position-horizontal:absolute;margin-left:402.82pt;mso-position-vertical-relative:page;margin-top:61.56pt;" coordsize="12896,518">
              <v:shape id="Shape 5099" style="position:absolute;width:5440;height:91;left:0;top:441;" coordsize="544068,9144" path="m0,0l544068,0l544068,9144l0,9144l0,0">
                <v:stroke weight="0pt" endcap="flat" joinstyle="miter" miterlimit="10" on="false" color="#000000" opacity="0"/>
                <v:fill on="true" color="#000000"/>
              </v:shape>
              <v:shape id="Shape 5100" style="position:absolute;width:3919;height:91;left:8976;top:0;" coordsize="391973,9144" path="m0,0l391973,0l391973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3C2"/>
    <w:multiLevelType w:val="hybridMultilevel"/>
    <w:tmpl w:val="08C482F4"/>
    <w:lvl w:ilvl="0" w:tplc="3F6EB648">
      <w:start w:val="1"/>
      <w:numFmt w:val="bullet"/>
      <w:lvlText w:val="•"/>
      <w:lvlJc w:val="left"/>
      <w:pPr>
        <w:ind w:left="137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00914">
      <w:start w:val="1"/>
      <w:numFmt w:val="bullet"/>
      <w:lvlText w:val="o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4DF4C">
      <w:start w:val="1"/>
      <w:numFmt w:val="bullet"/>
      <w:lvlText w:val="▪"/>
      <w:lvlJc w:val="left"/>
      <w:pPr>
        <w:ind w:left="2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CFBAE">
      <w:start w:val="1"/>
      <w:numFmt w:val="bullet"/>
      <w:lvlText w:val="•"/>
      <w:lvlJc w:val="left"/>
      <w:pPr>
        <w:ind w:left="351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83E92">
      <w:start w:val="1"/>
      <w:numFmt w:val="bullet"/>
      <w:lvlText w:val="o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2806A">
      <w:start w:val="1"/>
      <w:numFmt w:val="bullet"/>
      <w:lvlText w:val="▪"/>
      <w:lvlJc w:val="left"/>
      <w:pPr>
        <w:ind w:left="4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E82C6">
      <w:start w:val="1"/>
      <w:numFmt w:val="bullet"/>
      <w:lvlText w:val="•"/>
      <w:lvlJc w:val="left"/>
      <w:pPr>
        <w:ind w:left="567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623E6">
      <w:start w:val="1"/>
      <w:numFmt w:val="bullet"/>
      <w:lvlText w:val="o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4D23E">
      <w:start w:val="1"/>
      <w:numFmt w:val="bullet"/>
      <w:lvlText w:val="▪"/>
      <w:lvlJc w:val="left"/>
      <w:pPr>
        <w:ind w:left="7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55A38"/>
    <w:multiLevelType w:val="hybridMultilevel"/>
    <w:tmpl w:val="DCFE7864"/>
    <w:lvl w:ilvl="0" w:tplc="056E995A">
      <w:start w:val="1"/>
      <w:numFmt w:val="bullet"/>
      <w:lvlText w:val="•"/>
      <w:lvlJc w:val="left"/>
      <w:pPr>
        <w:ind w:left="137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02210">
      <w:start w:val="1"/>
      <w:numFmt w:val="bullet"/>
      <w:lvlText w:val="o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C05D2">
      <w:start w:val="1"/>
      <w:numFmt w:val="bullet"/>
      <w:lvlText w:val="▪"/>
      <w:lvlJc w:val="left"/>
      <w:pPr>
        <w:ind w:left="2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66266">
      <w:start w:val="1"/>
      <w:numFmt w:val="bullet"/>
      <w:lvlText w:val="•"/>
      <w:lvlJc w:val="left"/>
      <w:pPr>
        <w:ind w:left="351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A2AAA">
      <w:start w:val="1"/>
      <w:numFmt w:val="bullet"/>
      <w:lvlText w:val="o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8629A">
      <w:start w:val="1"/>
      <w:numFmt w:val="bullet"/>
      <w:lvlText w:val="▪"/>
      <w:lvlJc w:val="left"/>
      <w:pPr>
        <w:ind w:left="4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84C88">
      <w:start w:val="1"/>
      <w:numFmt w:val="bullet"/>
      <w:lvlText w:val="•"/>
      <w:lvlJc w:val="left"/>
      <w:pPr>
        <w:ind w:left="567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E3D96">
      <w:start w:val="1"/>
      <w:numFmt w:val="bullet"/>
      <w:lvlText w:val="o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60A36">
      <w:start w:val="1"/>
      <w:numFmt w:val="bullet"/>
      <w:lvlText w:val="▪"/>
      <w:lvlJc w:val="left"/>
      <w:pPr>
        <w:ind w:left="7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C13FE"/>
    <w:multiLevelType w:val="hybridMultilevel"/>
    <w:tmpl w:val="5EFC5A12"/>
    <w:lvl w:ilvl="0" w:tplc="EA8A421A">
      <w:start w:val="2"/>
      <w:numFmt w:val="decimal"/>
      <w:pStyle w:val="berschrift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6C60C">
      <w:start w:val="1"/>
      <w:numFmt w:val="lowerLetter"/>
      <w:lvlText w:val="%2"/>
      <w:lvlJc w:val="left"/>
      <w:pPr>
        <w:ind w:left="1718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0245E">
      <w:start w:val="1"/>
      <w:numFmt w:val="lowerRoman"/>
      <w:lvlText w:val="%3"/>
      <w:lvlJc w:val="left"/>
      <w:pPr>
        <w:ind w:left="2438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ADE9C">
      <w:start w:val="1"/>
      <w:numFmt w:val="decimal"/>
      <w:lvlText w:val="%4"/>
      <w:lvlJc w:val="left"/>
      <w:pPr>
        <w:ind w:left="3158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6ADA2">
      <w:start w:val="1"/>
      <w:numFmt w:val="lowerLetter"/>
      <w:lvlText w:val="%5"/>
      <w:lvlJc w:val="left"/>
      <w:pPr>
        <w:ind w:left="3878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4E1A8">
      <w:start w:val="1"/>
      <w:numFmt w:val="lowerRoman"/>
      <w:lvlText w:val="%6"/>
      <w:lvlJc w:val="left"/>
      <w:pPr>
        <w:ind w:left="4598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A71CA">
      <w:start w:val="1"/>
      <w:numFmt w:val="decimal"/>
      <w:lvlText w:val="%7"/>
      <w:lvlJc w:val="left"/>
      <w:pPr>
        <w:ind w:left="5318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C5A14">
      <w:start w:val="1"/>
      <w:numFmt w:val="lowerLetter"/>
      <w:lvlText w:val="%8"/>
      <w:lvlJc w:val="left"/>
      <w:pPr>
        <w:ind w:left="6038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49EEC">
      <w:start w:val="1"/>
      <w:numFmt w:val="lowerRoman"/>
      <w:lvlText w:val="%9"/>
      <w:lvlJc w:val="left"/>
      <w:pPr>
        <w:ind w:left="6758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DF4FF0"/>
    <w:multiLevelType w:val="hybridMultilevel"/>
    <w:tmpl w:val="D820E450"/>
    <w:lvl w:ilvl="0" w:tplc="877AE734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208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2AD0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86B8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4D3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D6E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8F3C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0B24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C15E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F402B3"/>
    <w:multiLevelType w:val="hybridMultilevel"/>
    <w:tmpl w:val="96FE09F4"/>
    <w:lvl w:ilvl="0" w:tplc="115A0EC4">
      <w:start w:val="1"/>
      <w:numFmt w:val="bullet"/>
      <w:lvlText w:val="•"/>
      <w:lvlJc w:val="left"/>
      <w:pPr>
        <w:ind w:left="137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C6A32">
      <w:start w:val="1"/>
      <w:numFmt w:val="bullet"/>
      <w:lvlText w:val="o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27392">
      <w:start w:val="1"/>
      <w:numFmt w:val="bullet"/>
      <w:lvlText w:val="▪"/>
      <w:lvlJc w:val="left"/>
      <w:pPr>
        <w:ind w:left="2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E1CE2">
      <w:start w:val="1"/>
      <w:numFmt w:val="bullet"/>
      <w:lvlText w:val="•"/>
      <w:lvlJc w:val="left"/>
      <w:pPr>
        <w:ind w:left="351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22EE2">
      <w:start w:val="1"/>
      <w:numFmt w:val="bullet"/>
      <w:lvlText w:val="o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CC9FA">
      <w:start w:val="1"/>
      <w:numFmt w:val="bullet"/>
      <w:lvlText w:val="▪"/>
      <w:lvlJc w:val="left"/>
      <w:pPr>
        <w:ind w:left="4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242FC">
      <w:start w:val="1"/>
      <w:numFmt w:val="bullet"/>
      <w:lvlText w:val="•"/>
      <w:lvlJc w:val="left"/>
      <w:pPr>
        <w:ind w:left="567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2425A">
      <w:start w:val="1"/>
      <w:numFmt w:val="bullet"/>
      <w:lvlText w:val="o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A48B8">
      <w:start w:val="1"/>
      <w:numFmt w:val="bullet"/>
      <w:lvlText w:val="▪"/>
      <w:lvlJc w:val="left"/>
      <w:pPr>
        <w:ind w:left="7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F0"/>
    <w:rsid w:val="000A58E8"/>
    <w:rsid w:val="002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361D"/>
  <w15:docId w15:val="{95F67C70-6618-4CEB-A660-5A4993BF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" w:line="268" w:lineRule="auto"/>
      <w:ind w:left="87" w:hanging="10"/>
    </w:pPr>
    <w:rPr>
      <w:rFonts w:ascii="Calibri" w:eastAsia="Calibri" w:hAnsi="Calibri" w:cs="Calibri"/>
      <w:color w:val="00206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numPr>
        <w:numId w:val="5"/>
      </w:numPr>
      <w:spacing w:after="56"/>
      <w:ind w:left="48" w:hanging="10"/>
      <w:outlineLvl w:val="0"/>
    </w:pPr>
    <w:rPr>
      <w:rFonts w:ascii="Calibri" w:eastAsia="Calibri" w:hAnsi="Calibri" w:cs="Calibri"/>
      <w:color w:val="00206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206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00206B3D4B1A230802130445</dc:title>
  <dc:subject/>
  <dc:creator>Polz Edda</dc:creator>
  <cp:keywords/>
  <cp:lastModifiedBy>Limbacher Jutta</cp:lastModifiedBy>
  <cp:revision>2</cp:revision>
  <dcterms:created xsi:type="dcterms:W3CDTF">2025-05-19T09:43:00Z</dcterms:created>
  <dcterms:modified xsi:type="dcterms:W3CDTF">2025-05-19T09:43:00Z</dcterms:modified>
</cp:coreProperties>
</file>