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5D22" w14:textId="77777777" w:rsidR="003E3996" w:rsidRPr="00A925A8" w:rsidRDefault="00F66FB8" w:rsidP="00A925A8">
      <w:pPr>
        <w:jc w:val="center"/>
        <w:rPr>
          <w:b/>
          <w:sz w:val="28"/>
          <w:szCs w:val="28"/>
        </w:rPr>
      </w:pPr>
      <w:r w:rsidRPr="00A925A8">
        <w:rPr>
          <w:b/>
          <w:sz w:val="28"/>
          <w:szCs w:val="28"/>
        </w:rPr>
        <w:t>Gegenüberstellung möglicher Anerkennungen</w:t>
      </w:r>
    </w:p>
    <w:p w14:paraId="210AB3B3" w14:textId="77777777" w:rsidR="00A925A8" w:rsidRDefault="00A925A8"/>
    <w:p w14:paraId="329CA568" w14:textId="202885C7" w:rsidR="00F66FB8" w:rsidRDefault="00F66FB8" w:rsidP="005B765B">
      <w:pPr>
        <w:jc w:val="both"/>
      </w:pPr>
      <w:r>
        <w:t>Vergleichen Sie Ziele und Inhalte</w:t>
      </w:r>
      <w:r w:rsidR="00A925A8">
        <w:t xml:space="preserve"> unserer Lehrveranstaltungen mit Ihre</w:t>
      </w:r>
      <w:r w:rsidR="0040709D">
        <w:t>n bereits absolvierten</w:t>
      </w:r>
      <w:r w:rsidR="00A925A8">
        <w:t xml:space="preserve"> </w:t>
      </w:r>
      <w:r w:rsidR="0040709D">
        <w:t>Weiterbildungen von „anerkannten postsekundären Bildungseinrichtungen“</w:t>
      </w:r>
      <w:r w:rsidR="00A925A8">
        <w:t xml:space="preserve">. </w:t>
      </w:r>
      <w:r w:rsidR="009D43A4">
        <w:t xml:space="preserve">Weitere </w:t>
      </w:r>
      <w:r w:rsidR="0040709D">
        <w:t xml:space="preserve">Details zu den jeweiligen Zielen unserer Lehrveranstaltungen finden Sie im Curriculum zu Ihrem Hochschullehrgang auf unserer </w:t>
      </w:r>
      <w:hyperlink r:id="rId8" w:history="1">
        <w:r w:rsidR="0040709D" w:rsidRPr="0040709D">
          <w:rPr>
            <w:rStyle w:val="Hyperlink"/>
          </w:rPr>
          <w:t>Website</w:t>
        </w:r>
      </w:hyperlink>
      <w:r w:rsidR="0040709D">
        <w:t>.</w:t>
      </w:r>
      <w:r w:rsidR="009D43A4">
        <w:t xml:space="preserve"> </w:t>
      </w:r>
      <w:r w:rsidR="00A925A8">
        <w:t>Wenn diese zutreffend sind</w:t>
      </w:r>
      <w:r w:rsidR="00FE5009">
        <w:t>,</w:t>
      </w:r>
      <w:r w:rsidR="00A925A8">
        <w:t xml:space="preserve"> tragen Sie die Lehrveranstaltung, samt Zielen und Inhalten, in die Nebenspalten ein. Beachten Sie bitte bei der Durchsicht der Lehrveranstaltung</w:t>
      </w:r>
      <w:r w:rsidR="0040709D">
        <w:t>en</w:t>
      </w:r>
      <w:r w:rsidR="00A925A8">
        <w:t xml:space="preserve">, ob diese in Ihrem Hochschullehrgang absolviert werden </w:t>
      </w:r>
      <w:r w:rsidR="009D43A4">
        <w:t>müssen</w:t>
      </w:r>
      <w:r w:rsidR="00A925A8">
        <w:t>. Bitte entfernen Sie für eine effizientere Bearbeitung die Lehrveranstaltungen, für welche Sie keine Anerkennung beantragen. S</w:t>
      </w:r>
      <w:r w:rsidR="00A925A8" w:rsidRPr="00A925A8">
        <w:t xml:space="preserve">enden Sie dieses Word-Dokument an </w:t>
      </w:r>
      <w:hyperlink r:id="rId9" w:history="1">
        <w:r w:rsidR="00A925A8" w:rsidRPr="00A925A8">
          <w:rPr>
            <w:rStyle w:val="Hyperlink"/>
          </w:rPr>
          <w:t>quereinstieg@ph-noe.ac.at</w:t>
        </w:r>
      </w:hyperlink>
      <w:r w:rsidR="00A925A8" w:rsidRPr="00A925A8">
        <w:t>. Gegebenenfalls können weitere Belege wie z.B. Lehrveranstaltungsbeschreibungen eingefordert werden.</w:t>
      </w:r>
    </w:p>
    <w:p w14:paraId="3E825648" w14:textId="77777777" w:rsidR="00A925A8" w:rsidRDefault="00A925A8"/>
    <w:p w14:paraId="2934D748" w14:textId="48B42621" w:rsidR="00F66FB8" w:rsidRPr="00A925A8" w:rsidRDefault="00F66FB8">
      <w:pPr>
        <w:rPr>
          <w:b/>
        </w:rPr>
      </w:pPr>
      <w:r w:rsidRPr="00A925A8">
        <w:rPr>
          <w:b/>
        </w:rPr>
        <w:t>Abkürzungen der Hochschullehrgänge:</w:t>
      </w:r>
    </w:p>
    <w:p w14:paraId="6B33B7CD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QAB90 = </w:t>
      </w:r>
      <w:r w:rsidRPr="00F66FB8">
        <w:t>Hochschullehrgang mit Masterabschluss: Quereinstieg Sekundarstufe Allgemeinbildung (für ein Unterrichtsfach)</w:t>
      </w:r>
    </w:p>
    <w:p w14:paraId="3A1F1AB9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QAB60 = </w:t>
      </w:r>
      <w:r w:rsidRPr="00F66FB8">
        <w:t>Hochschullehrgang Quereinstieg Sekundarstufe Allgemeinbildung (für ein Unterrichtsfach)</w:t>
      </w:r>
    </w:p>
    <w:p w14:paraId="565110BC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SOVL90 = </w:t>
      </w:r>
      <w:r w:rsidRPr="00F66FB8">
        <w:t>Qualifizierung von Sondervertragslehrer*innen (SOVL</w:t>
      </w:r>
      <w:r>
        <w:t>9</w:t>
      </w:r>
      <w:r w:rsidRPr="00F66FB8">
        <w:t>0)</w:t>
      </w:r>
    </w:p>
    <w:p w14:paraId="7EFBDADA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SOVL60 = </w:t>
      </w:r>
      <w:r w:rsidRPr="00F66FB8">
        <w:t>Qualifizierung von Sondervertragslehrer*innen (SOVL</w:t>
      </w:r>
      <w:r>
        <w:t>6</w:t>
      </w:r>
      <w:r w:rsidRPr="00F66FB8">
        <w:t>0)</w:t>
      </w:r>
    </w:p>
    <w:p w14:paraId="1F07E63E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SOVL30 = </w:t>
      </w:r>
      <w:r w:rsidRPr="00F66FB8">
        <w:t>Qualifizierung von Sondervertragslehrer*innen (SOVL</w:t>
      </w:r>
      <w:r>
        <w:t>3</w:t>
      </w:r>
      <w:r w:rsidRPr="00F66FB8">
        <w:t>0)</w:t>
      </w:r>
    </w:p>
    <w:p w14:paraId="0D18948B" w14:textId="77777777" w:rsidR="00F66FB8" w:rsidRDefault="00F66FB8" w:rsidP="00F66FB8">
      <w:pPr>
        <w:pStyle w:val="Listenabsatz"/>
        <w:numPr>
          <w:ilvl w:val="0"/>
          <w:numId w:val="2"/>
        </w:numPr>
      </w:pPr>
      <w:r>
        <w:t xml:space="preserve">SOVL20 = </w:t>
      </w:r>
      <w:r w:rsidRPr="00F66FB8">
        <w:t>Qualifizierung von Sondervertragslehrer*innen (SOVL</w:t>
      </w:r>
      <w:r>
        <w:t>2</w:t>
      </w:r>
      <w:r w:rsidRPr="00F66FB8">
        <w:t>0)</w:t>
      </w:r>
    </w:p>
    <w:p w14:paraId="03075EEF" w14:textId="77777777" w:rsidR="00F66FB8" w:rsidRDefault="00F66FB8" w:rsidP="00F66FB8">
      <w:pPr>
        <w:pStyle w:val="Listenabsatz"/>
      </w:pPr>
    </w:p>
    <w:p w14:paraId="4CD1A069" w14:textId="77777777" w:rsidR="009A12DB" w:rsidRDefault="009A12DB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846687" w14:paraId="61A6D909" w14:textId="77777777" w:rsidTr="0098484E">
        <w:tc>
          <w:tcPr>
            <w:tcW w:w="5240" w:type="dxa"/>
          </w:tcPr>
          <w:p w14:paraId="2103AEB8" w14:textId="77777777" w:rsidR="00846687" w:rsidRPr="00846687" w:rsidRDefault="00846687">
            <w:pPr>
              <w:rPr>
                <w:b/>
              </w:rPr>
            </w:pPr>
            <w:r w:rsidRPr="00846687">
              <w:rPr>
                <w:b/>
              </w:rPr>
              <w:t>Schule als Arbeitsraum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55299C5" w14:textId="77777777" w:rsidR="00846687" w:rsidRPr="0098484E" w:rsidRDefault="00846687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CE1D4A2" w14:textId="77777777" w:rsidR="00846687" w:rsidRPr="0098484E" w:rsidRDefault="00846687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 w:rsidR="0098484E"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A7424A" w14:textId="77777777" w:rsidR="00846687" w:rsidRPr="0098484E" w:rsidRDefault="00846687">
            <w:pPr>
              <w:rPr>
                <w:i/>
              </w:rPr>
            </w:pPr>
            <w:r w:rsidRPr="0098484E">
              <w:rPr>
                <w:i/>
              </w:rPr>
              <w:t>ECTS-AP</w:t>
            </w:r>
            <w:r w:rsidR="0098484E" w:rsidRPr="0098484E">
              <w:rPr>
                <w:i/>
              </w:rPr>
              <w:t>:</w:t>
            </w:r>
          </w:p>
        </w:tc>
      </w:tr>
      <w:tr w:rsidR="00846687" w14:paraId="7163D3A6" w14:textId="77777777" w:rsidTr="0098484E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8E12B66" w14:textId="77777777" w:rsidR="00846687" w:rsidRPr="0098484E" w:rsidRDefault="00846687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 w:rsidR="0098484E"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514ACEEE" w14:textId="77777777" w:rsidR="00846687" w:rsidRDefault="00846687"/>
        </w:tc>
        <w:tc>
          <w:tcPr>
            <w:tcW w:w="1275" w:type="dxa"/>
            <w:vMerge w:val="restart"/>
          </w:tcPr>
          <w:p w14:paraId="3DF1695C" w14:textId="77777777" w:rsidR="00846687" w:rsidRDefault="00846687"/>
        </w:tc>
      </w:tr>
      <w:tr w:rsidR="00846687" w:rsidRPr="00B42B07" w14:paraId="164A7645" w14:textId="77777777" w:rsidTr="0098484E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DBB705B" w14:textId="77777777" w:rsidR="00846687" w:rsidRPr="00F66FB8" w:rsidRDefault="00846687" w:rsidP="00846687">
            <w:pPr>
              <w:rPr>
                <w:lang w:val="en-US"/>
              </w:rPr>
            </w:pPr>
            <w:r w:rsidRPr="00F66FB8">
              <w:rPr>
                <w:lang w:val="en-US"/>
              </w:rPr>
              <w:t>Q</w:t>
            </w:r>
            <w:r w:rsidR="00F66FB8" w:rsidRPr="00F66FB8">
              <w:rPr>
                <w:lang w:val="en-US"/>
              </w:rPr>
              <w:t>AB</w:t>
            </w:r>
            <w:r w:rsidRPr="00F66FB8">
              <w:rPr>
                <w:lang w:val="en-US"/>
              </w:rPr>
              <w:t>90, Q</w:t>
            </w:r>
            <w:r w:rsidR="00F66FB8" w:rsidRPr="00F66FB8">
              <w:rPr>
                <w:lang w:val="en-US"/>
              </w:rPr>
              <w:t>AB</w:t>
            </w:r>
            <w:r w:rsidRPr="00F66FB8">
              <w:rPr>
                <w:lang w:val="en-US"/>
              </w:rPr>
              <w:t>60, SOVL90</w:t>
            </w:r>
            <w:r w:rsidR="00F66FB8" w:rsidRPr="00F66FB8">
              <w:rPr>
                <w:lang w:val="en-US"/>
              </w:rPr>
              <w:t>, SOVL60, SOVL30, SOVL20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3AD22003" w14:textId="77777777" w:rsidR="00846687" w:rsidRPr="00F66FB8" w:rsidRDefault="00846687" w:rsidP="00846687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2A22DB79" w14:textId="77777777" w:rsidR="00846687" w:rsidRPr="00F66FB8" w:rsidRDefault="00846687" w:rsidP="00846687">
            <w:pPr>
              <w:rPr>
                <w:lang w:val="en-US"/>
              </w:rPr>
            </w:pPr>
          </w:p>
        </w:tc>
      </w:tr>
      <w:tr w:rsidR="00846687" w14:paraId="70877A06" w14:textId="77777777" w:rsidTr="0098484E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1A7E937" w14:textId="1DCA9851" w:rsidR="00846687" w:rsidRPr="0098484E" w:rsidRDefault="00846687" w:rsidP="00846687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 w:rsidR="0098484E"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AACD01" w14:textId="77777777" w:rsidR="00846687" w:rsidRPr="0098484E" w:rsidRDefault="00846687" w:rsidP="00846687">
            <w:pPr>
              <w:rPr>
                <w:i/>
              </w:rPr>
            </w:pPr>
            <w:r w:rsidRPr="0098484E">
              <w:rPr>
                <w:i/>
              </w:rPr>
              <w:t>Inhalte und Ziele</w:t>
            </w:r>
            <w:r w:rsidR="0098484E" w:rsidRPr="0098484E">
              <w:rPr>
                <w:i/>
              </w:rPr>
              <w:t>:</w:t>
            </w:r>
          </w:p>
        </w:tc>
      </w:tr>
      <w:tr w:rsidR="0098484E" w14:paraId="2BCE75F9" w14:textId="77777777" w:rsidTr="008D5C32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8613025" w14:textId="77777777" w:rsidR="0098484E" w:rsidRDefault="0098484E" w:rsidP="0098484E">
            <w:pPr>
              <w:pStyle w:val="Listenabsatz"/>
              <w:numPr>
                <w:ilvl w:val="0"/>
                <w:numId w:val="1"/>
              </w:numPr>
            </w:pPr>
            <w:r>
              <w:t>Recht</w:t>
            </w:r>
          </w:p>
          <w:p w14:paraId="6380A793" w14:textId="77777777" w:rsidR="0098484E" w:rsidRDefault="0098484E" w:rsidP="0098484E">
            <w:pPr>
              <w:pStyle w:val="Listenabsatz"/>
              <w:numPr>
                <w:ilvl w:val="0"/>
                <w:numId w:val="1"/>
              </w:numPr>
            </w:pPr>
            <w:r>
              <w:t>Professionsbewusstsein</w:t>
            </w:r>
          </w:p>
          <w:p w14:paraId="59A98BB7" w14:textId="77777777" w:rsidR="0098484E" w:rsidRDefault="0098484E" w:rsidP="0098484E">
            <w:pPr>
              <w:pStyle w:val="Listenabsatz"/>
              <w:numPr>
                <w:ilvl w:val="0"/>
                <w:numId w:val="1"/>
              </w:numPr>
            </w:pPr>
            <w:r>
              <w:t>Mentoring/Professionelle Lerngemeinschaften</w:t>
            </w:r>
          </w:p>
          <w:p w14:paraId="5861D919" w14:textId="77777777" w:rsidR="0098484E" w:rsidRDefault="0098484E" w:rsidP="0098484E">
            <w:pPr>
              <w:pStyle w:val="Listenabsatz"/>
              <w:numPr>
                <w:ilvl w:val="0"/>
                <w:numId w:val="1"/>
              </w:numPr>
            </w:pPr>
            <w:r>
              <w:t>Organisationsfeld Schule</w:t>
            </w:r>
          </w:p>
          <w:p w14:paraId="3CD28A52" w14:textId="77777777" w:rsidR="0098484E" w:rsidRDefault="0098484E" w:rsidP="0098484E">
            <w:pPr>
              <w:pStyle w:val="Listenabsatz"/>
              <w:numPr>
                <w:ilvl w:val="0"/>
                <w:numId w:val="1"/>
              </w:numPr>
            </w:pPr>
            <w:r>
              <w:t>Projektmanagement</w:t>
            </w:r>
          </w:p>
          <w:p w14:paraId="2D66A5FA" w14:textId="77777777" w:rsidR="0098484E" w:rsidRDefault="0098484E" w:rsidP="0040709D">
            <w:pPr>
              <w:pStyle w:val="Listenabsatz"/>
            </w:pPr>
          </w:p>
          <w:p w14:paraId="391AC0C8" w14:textId="0BD2B496" w:rsidR="00383BC7" w:rsidRDefault="00383BC7" w:rsidP="0040709D">
            <w:pPr>
              <w:pStyle w:val="Listenabsatz"/>
            </w:pP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52629A83" w14:textId="77777777" w:rsidR="0098484E" w:rsidRDefault="0098484E" w:rsidP="00846687"/>
        </w:tc>
      </w:tr>
    </w:tbl>
    <w:p w14:paraId="2A9097E4" w14:textId="103DC9D0" w:rsidR="003E3996" w:rsidRDefault="003E3996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40709D" w14:paraId="3C8D237A" w14:textId="77777777" w:rsidTr="00211F00">
        <w:tc>
          <w:tcPr>
            <w:tcW w:w="5240" w:type="dxa"/>
          </w:tcPr>
          <w:p w14:paraId="558F5C4F" w14:textId="225E7954" w:rsidR="0040709D" w:rsidRPr="00846687" w:rsidRDefault="00383BC7" w:rsidP="00211F00">
            <w:pPr>
              <w:rPr>
                <w:b/>
              </w:rPr>
            </w:pPr>
            <w:r w:rsidRPr="00383BC7">
              <w:rPr>
                <w:b/>
              </w:rPr>
              <w:lastRenderedPageBreak/>
              <w:t>Beziehungsberuf Lehrer*in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77D51A10" w14:textId="77777777" w:rsidR="0040709D" w:rsidRPr="0098484E" w:rsidRDefault="0040709D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555D013" w14:textId="77777777" w:rsidR="0040709D" w:rsidRPr="0098484E" w:rsidRDefault="0040709D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81C30EA" w14:textId="77777777" w:rsidR="0040709D" w:rsidRPr="0098484E" w:rsidRDefault="0040709D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40709D" w14:paraId="6C9B133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D96C814" w14:textId="77777777" w:rsidR="0040709D" w:rsidRPr="0098484E" w:rsidRDefault="0040709D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6C86690D" w14:textId="77777777" w:rsidR="0040709D" w:rsidRDefault="0040709D" w:rsidP="00211F00"/>
        </w:tc>
        <w:tc>
          <w:tcPr>
            <w:tcW w:w="1275" w:type="dxa"/>
            <w:vMerge w:val="restart"/>
          </w:tcPr>
          <w:p w14:paraId="7B7903FE" w14:textId="77777777" w:rsidR="0040709D" w:rsidRDefault="0040709D" w:rsidP="00211F00"/>
        </w:tc>
      </w:tr>
      <w:tr w:rsidR="0040709D" w:rsidRPr="00211F00" w14:paraId="481133C4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43E27FD" w14:textId="29F2DC16" w:rsidR="0040709D" w:rsidRPr="00F66FB8" w:rsidRDefault="0040709D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SOVL30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2F90CF21" w14:textId="77777777" w:rsidR="0040709D" w:rsidRPr="00F66FB8" w:rsidRDefault="0040709D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616703FF" w14:textId="77777777" w:rsidR="0040709D" w:rsidRPr="00F66FB8" w:rsidRDefault="0040709D" w:rsidP="00211F00">
            <w:pPr>
              <w:rPr>
                <w:lang w:val="en-US"/>
              </w:rPr>
            </w:pPr>
          </w:p>
        </w:tc>
      </w:tr>
      <w:tr w:rsidR="0040709D" w14:paraId="03CBB23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6FBAFC8" w14:textId="77777777" w:rsidR="0040709D" w:rsidRPr="0098484E" w:rsidRDefault="0040709D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09373BC" w14:textId="77777777" w:rsidR="0040709D" w:rsidRPr="0098484E" w:rsidRDefault="0040709D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40709D" w14:paraId="1877780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B4A8448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Methoden der Planung und Durchführung von Unterricht</w:t>
            </w:r>
          </w:p>
          <w:p w14:paraId="24C1B0B9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Diversität/Inklusion</w:t>
            </w:r>
          </w:p>
          <w:p w14:paraId="35A578B5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Classroom Management</w:t>
            </w:r>
          </w:p>
          <w:p w14:paraId="281486E1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Digitalisierung</w:t>
            </w:r>
          </w:p>
          <w:p w14:paraId="36873863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Sprache</w:t>
            </w:r>
          </w:p>
          <w:p w14:paraId="7E7C0949" w14:textId="7C8AEED9" w:rsidR="0040709D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Selbstreflexion und Reflexion der eigenen Bildungsbiografie und des eigenen Mindsets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777D2EC0" w14:textId="77777777" w:rsidR="0040709D" w:rsidRDefault="0040709D" w:rsidP="00211F00"/>
        </w:tc>
      </w:tr>
    </w:tbl>
    <w:p w14:paraId="2D73FBCB" w14:textId="32D83A23" w:rsidR="0040709D" w:rsidRDefault="0040709D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1FD3FFFE" w14:textId="77777777" w:rsidTr="00211F00">
        <w:tc>
          <w:tcPr>
            <w:tcW w:w="5240" w:type="dxa"/>
          </w:tcPr>
          <w:p w14:paraId="7130658B" w14:textId="3DCAB3C4" w:rsidR="00383BC7" w:rsidRPr="00846687" w:rsidRDefault="00383BC7" w:rsidP="00211F00">
            <w:pPr>
              <w:rPr>
                <w:b/>
              </w:rPr>
            </w:pPr>
            <w:r w:rsidRPr="00383BC7">
              <w:rPr>
                <w:b/>
              </w:rPr>
              <w:t>Bildung und Entwicklung I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68B48A1E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1238E37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C13D4B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7DD5BBCC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3107DD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4AB7FD97" w14:textId="77777777" w:rsidR="00383BC7" w:rsidRDefault="00383BC7" w:rsidP="00211F00"/>
        </w:tc>
        <w:tc>
          <w:tcPr>
            <w:tcW w:w="1275" w:type="dxa"/>
            <w:vMerge w:val="restart"/>
          </w:tcPr>
          <w:p w14:paraId="0F885FF4" w14:textId="77777777" w:rsidR="00383BC7" w:rsidRDefault="00383BC7" w:rsidP="00211F00"/>
        </w:tc>
      </w:tr>
      <w:tr w:rsidR="00383BC7" w:rsidRPr="00211F00" w14:paraId="2720515D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B928F1A" w14:textId="3A3BC6E6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 xml:space="preserve">QAB90, QAB60, SOVL90, SOVL60 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10889404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62A32070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0413086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DDE2D1C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F755A3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66C3A9CA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102DFC7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Historische und systematische Grundlagen von Bildungstheorie und Bildungsforschung</w:t>
            </w:r>
          </w:p>
          <w:p w14:paraId="364F9761" w14:textId="77777777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Individuums-, entwicklungs- und gegebenenfalls religionspsychologische Grundlagen von Bildung und Lernen</w:t>
            </w:r>
          </w:p>
          <w:p w14:paraId="6935831F" w14:textId="266F4606" w:rsidR="00383BC7" w:rsidRDefault="00383BC7" w:rsidP="00383BC7">
            <w:pPr>
              <w:pStyle w:val="Listenabsatz"/>
              <w:numPr>
                <w:ilvl w:val="0"/>
                <w:numId w:val="1"/>
              </w:numPr>
            </w:pPr>
            <w:r>
              <w:t>Erziehungswissenschaftliche, psychologische und soziologische Grundlagen des Lernens und Lehrens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44F42F34" w14:textId="77777777" w:rsidR="00383BC7" w:rsidRDefault="00383BC7" w:rsidP="00211F00"/>
        </w:tc>
      </w:tr>
    </w:tbl>
    <w:p w14:paraId="2C3B120E" w14:textId="7B55AAA8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7B6E286A" w14:textId="77777777" w:rsidTr="00211F00">
        <w:tc>
          <w:tcPr>
            <w:tcW w:w="5240" w:type="dxa"/>
          </w:tcPr>
          <w:p w14:paraId="0D38A49E" w14:textId="025103E7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Bildung und Entwicklung II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510FF09A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B8E2E6B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8979CFB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62DFB6F2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C11658A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527142DD" w14:textId="77777777" w:rsidR="00383BC7" w:rsidRDefault="00383BC7" w:rsidP="00211F00"/>
        </w:tc>
        <w:tc>
          <w:tcPr>
            <w:tcW w:w="1275" w:type="dxa"/>
            <w:vMerge w:val="restart"/>
          </w:tcPr>
          <w:p w14:paraId="5E1EE90E" w14:textId="77777777" w:rsidR="00383BC7" w:rsidRDefault="00383BC7" w:rsidP="00211F00"/>
        </w:tc>
      </w:tr>
      <w:tr w:rsidR="00383BC7" w:rsidRPr="00211F00" w14:paraId="333BFCF4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3B7A3B3B" w14:textId="0FFE43FE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5B3F0DB0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1CFD0F2D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45036D0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F63DAAF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4C92E56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2C50829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179829A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Aktuelle nationale und internationale Debatten zu Bildung und Entwicklung</w:t>
            </w:r>
          </w:p>
          <w:p w14:paraId="0D9449CE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Globale Konvergenzen und Divergenzen in der Bildungswelt</w:t>
            </w:r>
          </w:p>
          <w:p w14:paraId="2F79E8C7" w14:textId="0CE020FB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Alternative Ansätze in der Bildungswelt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72E3E837" w14:textId="77777777" w:rsidR="00383BC7" w:rsidRDefault="00383BC7" w:rsidP="00211F00"/>
        </w:tc>
      </w:tr>
    </w:tbl>
    <w:p w14:paraId="2080EE09" w14:textId="27AE9108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5FE4544F" w14:textId="77777777" w:rsidTr="00211F00">
        <w:tc>
          <w:tcPr>
            <w:tcW w:w="5240" w:type="dxa"/>
          </w:tcPr>
          <w:p w14:paraId="3948F2AD" w14:textId="35B50D9D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Inklusive Schule und Vielfalt I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3E92B2A3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CDBDE40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E9F83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68168BD8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5833DFA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26ED9383" w14:textId="77777777" w:rsidR="00383BC7" w:rsidRDefault="00383BC7" w:rsidP="00211F00"/>
        </w:tc>
        <w:tc>
          <w:tcPr>
            <w:tcW w:w="1275" w:type="dxa"/>
            <w:vMerge w:val="restart"/>
          </w:tcPr>
          <w:p w14:paraId="0340CD74" w14:textId="77777777" w:rsidR="00383BC7" w:rsidRDefault="00383BC7" w:rsidP="00211F00"/>
        </w:tc>
      </w:tr>
      <w:tr w:rsidR="00383BC7" w:rsidRPr="00211F00" w14:paraId="6A122B78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3FFB9DC" w14:textId="5A69EA32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4489F5FA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7BAE557A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5E714A61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61A8810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2E2B61D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6C75BD40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55785BA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Dimensionen der Inklusion</w:t>
            </w:r>
          </w:p>
          <w:p w14:paraId="69B2230F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Chancen der Diversität</w:t>
            </w:r>
          </w:p>
          <w:p w14:paraId="71F7E544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Bildungsgerechtigkeit 4.0</w:t>
            </w:r>
          </w:p>
          <w:p w14:paraId="3B3F4EE5" w14:textId="4E235458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Lernseitige Unterrichtsgestaltung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06C27100" w14:textId="77777777" w:rsidR="00383BC7" w:rsidRDefault="00383BC7" w:rsidP="00211F00"/>
        </w:tc>
      </w:tr>
    </w:tbl>
    <w:p w14:paraId="6EFE9FE4" w14:textId="7BEA3F8D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1063AC00" w14:textId="77777777" w:rsidTr="00211F00">
        <w:tc>
          <w:tcPr>
            <w:tcW w:w="5240" w:type="dxa"/>
          </w:tcPr>
          <w:p w14:paraId="4198B536" w14:textId="1E0E449E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Inklusive Schule und Vielfalt II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A6CA532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50A3B11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488D51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21965C9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ACA2AE7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18DCD4E2" w14:textId="77777777" w:rsidR="00383BC7" w:rsidRDefault="00383BC7" w:rsidP="00211F00"/>
        </w:tc>
        <w:tc>
          <w:tcPr>
            <w:tcW w:w="1275" w:type="dxa"/>
            <w:vMerge w:val="restart"/>
          </w:tcPr>
          <w:p w14:paraId="6ADFAA55" w14:textId="77777777" w:rsidR="00383BC7" w:rsidRDefault="00383BC7" w:rsidP="00211F00"/>
        </w:tc>
      </w:tr>
      <w:tr w:rsidR="00383BC7" w:rsidRPr="00211F00" w14:paraId="18BCD44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206BD5DE" w14:textId="246B2B3E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63F86F87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4CDB6BA1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0EEA1CA9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F29A5DB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BCC7D2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290E371A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5AA0F20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Methoden für Differenzierung</w:t>
            </w:r>
          </w:p>
          <w:p w14:paraId="781331F0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Instrumente und Werkzeuge</w:t>
            </w:r>
          </w:p>
          <w:p w14:paraId="136FB2EF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Kompetenzen im Umgang mit Heterogenität und Diversität</w:t>
            </w:r>
          </w:p>
          <w:p w14:paraId="465A2A8E" w14:textId="3F304048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Inklusive (Fach-)Didaktik und adaptive didaktische Kompetenz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0C1F550B" w14:textId="77777777" w:rsidR="00383BC7" w:rsidRDefault="00383BC7" w:rsidP="00211F00"/>
        </w:tc>
      </w:tr>
    </w:tbl>
    <w:p w14:paraId="6494F570" w14:textId="2164AB73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07E4EACC" w14:textId="77777777" w:rsidTr="00211F00">
        <w:tc>
          <w:tcPr>
            <w:tcW w:w="5240" w:type="dxa"/>
          </w:tcPr>
          <w:p w14:paraId="0A73CED8" w14:textId="7834FF1E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Unterricht fachdidaktisch vor- und nachbereiten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7D2DEE2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FBD303D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F0471C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246B066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4103D9E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2E18C85E" w14:textId="77777777" w:rsidR="00383BC7" w:rsidRDefault="00383BC7" w:rsidP="00211F00"/>
        </w:tc>
        <w:tc>
          <w:tcPr>
            <w:tcW w:w="1275" w:type="dxa"/>
            <w:vMerge w:val="restart"/>
          </w:tcPr>
          <w:p w14:paraId="07CB7C45" w14:textId="77777777" w:rsidR="00383BC7" w:rsidRDefault="00383BC7" w:rsidP="00211F00"/>
        </w:tc>
      </w:tr>
      <w:tr w:rsidR="00383BC7" w:rsidRPr="00B42B07" w14:paraId="7F9EC2D7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38E29FF9" w14:textId="77777777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SOVL60, SOVL30, SOVL20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691FF084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095AE8B9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6106913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8A5B6CF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lastRenderedPageBreak/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862CAAF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4CFE91E5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8048651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Planungsarten (Jahresplanung, Unterrichtsplanung)</w:t>
            </w:r>
          </w:p>
          <w:p w14:paraId="60A1C9D5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Bausteine der fachdidaktischen Unterrichtsplanung</w:t>
            </w:r>
          </w:p>
          <w:p w14:paraId="39C8ECB0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Lehrplan, Kompetenzraster, Lernziele</w:t>
            </w:r>
          </w:p>
          <w:p w14:paraId="6C2CDC86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Lernaufgaben und Anforderungsniveaus</w:t>
            </w:r>
          </w:p>
          <w:p w14:paraId="1014F08D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Korrekturen, lernförderliche Rückmeldungen, Leistungsfeststellungen</w:t>
            </w:r>
          </w:p>
          <w:p w14:paraId="0E5D0C0B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Feedback und Evaluation</w:t>
            </w:r>
          </w:p>
          <w:p w14:paraId="53FDA533" w14:textId="22A3CC07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Methoden und Instrumente der Selbstreflexion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44B77489" w14:textId="77777777" w:rsidR="00383BC7" w:rsidRDefault="00383BC7" w:rsidP="00211F00"/>
        </w:tc>
      </w:tr>
    </w:tbl>
    <w:p w14:paraId="2E122DCD" w14:textId="5D2FEE22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16170E98" w14:textId="77777777" w:rsidTr="00211F00">
        <w:tc>
          <w:tcPr>
            <w:tcW w:w="5240" w:type="dxa"/>
          </w:tcPr>
          <w:p w14:paraId="3BFF18E7" w14:textId="54BC6B04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Unterricht fachdidaktisch durchführen und gestalten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446B1F93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CA71315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93EDD0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283E0EE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D97A262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0D3D2FD2" w14:textId="77777777" w:rsidR="00383BC7" w:rsidRDefault="00383BC7" w:rsidP="00211F00"/>
        </w:tc>
        <w:tc>
          <w:tcPr>
            <w:tcW w:w="1275" w:type="dxa"/>
            <w:vMerge w:val="restart"/>
          </w:tcPr>
          <w:p w14:paraId="7F6030D3" w14:textId="77777777" w:rsidR="00383BC7" w:rsidRDefault="00383BC7" w:rsidP="00211F00"/>
        </w:tc>
      </w:tr>
      <w:tr w:rsidR="00383BC7" w:rsidRPr="00211F00" w14:paraId="4A7F239A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FCF9919" w14:textId="0DE8A836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A314FB8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20CBEE3B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266E5609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A85A071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368CC31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628BF69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FF078D8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Phasen der fachdidaktischen Unterrichtsgestaltung</w:t>
            </w:r>
          </w:p>
          <w:p w14:paraId="5758C72A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Lehrerverhalten</w:t>
            </w:r>
          </w:p>
          <w:p w14:paraId="03DD8827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Körpersprache im Unterricht</w:t>
            </w:r>
          </w:p>
          <w:p w14:paraId="64BCF73D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Lehrersprache</w:t>
            </w:r>
          </w:p>
          <w:p w14:paraId="4065CC68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Unterricht differenzieren</w:t>
            </w:r>
          </w:p>
          <w:p w14:paraId="71E74FC3" w14:textId="1C5F852E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Präventiver Umgang mit Unterrichtsstörungen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51EBEA65" w14:textId="77777777" w:rsidR="00383BC7" w:rsidRDefault="00383BC7" w:rsidP="00211F00"/>
        </w:tc>
      </w:tr>
    </w:tbl>
    <w:p w14:paraId="12CF766E" w14:textId="2E7FC6CA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0F5C56F5" w14:textId="77777777" w:rsidTr="00211F00">
        <w:tc>
          <w:tcPr>
            <w:tcW w:w="5240" w:type="dxa"/>
          </w:tcPr>
          <w:p w14:paraId="6E423EC3" w14:textId="2CD9EAC6" w:rsidR="00383BC7" w:rsidRPr="00846687" w:rsidRDefault="00ED2E38" w:rsidP="00211F00">
            <w:pPr>
              <w:rPr>
                <w:b/>
              </w:rPr>
            </w:pPr>
            <w:r w:rsidRPr="00ED2E38">
              <w:rPr>
                <w:b/>
              </w:rPr>
              <w:t>Digitale Kompetenzen für Quereinsteiger*innen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7E6EA6C3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60084A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ED86E2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78BF3DA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480BA16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396FC9F7" w14:textId="77777777" w:rsidR="00383BC7" w:rsidRDefault="00383BC7" w:rsidP="00211F00"/>
        </w:tc>
        <w:tc>
          <w:tcPr>
            <w:tcW w:w="1275" w:type="dxa"/>
            <w:vMerge w:val="restart"/>
          </w:tcPr>
          <w:p w14:paraId="10A3D8C2" w14:textId="77777777" w:rsidR="00383BC7" w:rsidRDefault="00383BC7" w:rsidP="00211F00"/>
        </w:tc>
      </w:tr>
      <w:tr w:rsidR="00383BC7" w:rsidRPr="00B42B07" w14:paraId="00EC853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BAD0BD4" w14:textId="77777777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SOVL60, SOVL30, SOVL20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18ABAE0B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0D40904D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384C6C0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CBF14AE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9890333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6DF23E8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C304252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Digitale Welt in der Schule</w:t>
            </w:r>
          </w:p>
          <w:p w14:paraId="726D3467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Chancen und Risiken</w:t>
            </w:r>
          </w:p>
          <w:p w14:paraId="628053D8" w14:textId="77777777" w:rsidR="00ED2E38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t>Datenschutz</w:t>
            </w:r>
          </w:p>
          <w:p w14:paraId="66D9C024" w14:textId="701D6C31" w:rsidR="00383BC7" w:rsidRDefault="00ED2E38" w:rsidP="00ED2E38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Medienkompetenz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4AAD1B04" w14:textId="77777777" w:rsidR="00383BC7" w:rsidRDefault="00383BC7" w:rsidP="00211F00"/>
        </w:tc>
      </w:tr>
    </w:tbl>
    <w:p w14:paraId="76F9F53E" w14:textId="01564F63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1950EB6E" w14:textId="77777777" w:rsidTr="00211F00">
        <w:tc>
          <w:tcPr>
            <w:tcW w:w="5240" w:type="dxa"/>
          </w:tcPr>
          <w:p w14:paraId="429C74EE" w14:textId="1ADEDE9C" w:rsidR="00383BC7" w:rsidRPr="00846687" w:rsidRDefault="009D43A4" w:rsidP="00211F00">
            <w:pPr>
              <w:rPr>
                <w:b/>
              </w:rPr>
            </w:pPr>
            <w:r w:rsidRPr="009D43A4">
              <w:rPr>
                <w:b/>
              </w:rPr>
              <w:t>Grüne Pädagogik und Bildung für nachhaltige Entwicklung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073E95F2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70B2355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157331E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6D83408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064932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3D6E4836" w14:textId="77777777" w:rsidR="00383BC7" w:rsidRDefault="00383BC7" w:rsidP="00211F00"/>
        </w:tc>
        <w:tc>
          <w:tcPr>
            <w:tcW w:w="1275" w:type="dxa"/>
            <w:vMerge w:val="restart"/>
          </w:tcPr>
          <w:p w14:paraId="4AD521EC" w14:textId="77777777" w:rsidR="00383BC7" w:rsidRDefault="00383BC7" w:rsidP="00211F00"/>
        </w:tc>
      </w:tr>
      <w:tr w:rsidR="00383BC7" w:rsidRPr="00211F00" w14:paraId="778CCE87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F50A861" w14:textId="27F1CC97" w:rsidR="00383BC7" w:rsidRPr="00F66FB8" w:rsidRDefault="009D43A4" w:rsidP="00211F00">
            <w:pPr>
              <w:rPr>
                <w:lang w:val="en-US"/>
              </w:rPr>
            </w:pPr>
            <w:r>
              <w:rPr>
                <w:lang w:val="en-US"/>
              </w:rPr>
              <w:t>SOVL90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345889F3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43B0FAA8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2205740D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FDC0687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6F3620D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52C120E9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9AF3ACD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Bildung für nachhaltige Entwicklung im Unterricht am Beispiel der Nachhaltigkeitsziele (SDGs, Agenda 2030) </w:t>
            </w:r>
          </w:p>
          <w:p w14:paraId="726F8271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Grüne Pädagogik: Transformative </w:t>
            </w:r>
            <w:proofErr w:type="spellStart"/>
            <w:r>
              <w:t>learning</w:t>
            </w:r>
            <w:proofErr w:type="spellEnd"/>
            <w:r>
              <w:t xml:space="preserve"> für die Zukunft mit den SDGs </w:t>
            </w:r>
          </w:p>
          <w:p w14:paraId="3AEC1D31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Methoden zur Förderung systemischen Denkens: Erprobung und Analyse in Lernprozessen zu den SDGs </w:t>
            </w:r>
          </w:p>
          <w:p w14:paraId="4641DCB5" w14:textId="0F28A942" w:rsidR="00383BC7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Globales Lernen anhand von Lernprozessen in polyvalenten Entscheidungssituationen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67BCD841" w14:textId="77777777" w:rsidR="00383BC7" w:rsidRDefault="00383BC7" w:rsidP="00211F00"/>
        </w:tc>
      </w:tr>
    </w:tbl>
    <w:p w14:paraId="67304A3A" w14:textId="561868AE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2D2E340A" w14:textId="77777777" w:rsidTr="00211F00">
        <w:tc>
          <w:tcPr>
            <w:tcW w:w="5240" w:type="dxa"/>
          </w:tcPr>
          <w:p w14:paraId="7516281C" w14:textId="7928411A" w:rsidR="00383BC7" w:rsidRPr="00846687" w:rsidRDefault="009D43A4" w:rsidP="00211F00">
            <w:pPr>
              <w:rPr>
                <w:b/>
              </w:rPr>
            </w:pPr>
            <w:r w:rsidRPr="009D43A4">
              <w:rPr>
                <w:b/>
              </w:rPr>
              <w:t>Hospitation und Unterrichtsbeobachtung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6E0D9D60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B5B6423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1D5AB9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07C388D0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08F2C63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6FA6BA1D" w14:textId="77777777" w:rsidR="00383BC7" w:rsidRDefault="00383BC7" w:rsidP="00211F00"/>
        </w:tc>
        <w:tc>
          <w:tcPr>
            <w:tcW w:w="1275" w:type="dxa"/>
            <w:vMerge w:val="restart"/>
          </w:tcPr>
          <w:p w14:paraId="6A3ED6CE" w14:textId="77777777" w:rsidR="00383BC7" w:rsidRDefault="00383BC7" w:rsidP="00211F00"/>
        </w:tc>
      </w:tr>
      <w:tr w:rsidR="00383BC7" w:rsidRPr="00B42B07" w14:paraId="43D6441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3643D38" w14:textId="25549AAF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SOVL60, SOVL30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678D8D3F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3C708620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558A9B5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DFF886B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F2124B9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10C6FF35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C03B50C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Rahmenbedingungen von Schule </w:t>
            </w:r>
          </w:p>
          <w:p w14:paraId="55453DB0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Unterricht beobachten </w:t>
            </w:r>
          </w:p>
          <w:p w14:paraId="5C5C68D8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Beobachtungsmethoden </w:t>
            </w:r>
          </w:p>
          <w:p w14:paraId="602F137D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 xml:space="preserve">Praxiserfahrungen an anderen Schulformen </w:t>
            </w:r>
          </w:p>
          <w:p w14:paraId="4176DD35" w14:textId="090B8744" w:rsidR="00383BC7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Reflexion neuer Medien in Unterricht und Schule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08110A5B" w14:textId="77777777" w:rsidR="00383BC7" w:rsidRDefault="00383BC7" w:rsidP="00211F00"/>
        </w:tc>
      </w:tr>
    </w:tbl>
    <w:p w14:paraId="0174B37B" w14:textId="3D3945EF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6EE7F5CC" w14:textId="77777777" w:rsidTr="00211F00">
        <w:tc>
          <w:tcPr>
            <w:tcW w:w="5240" w:type="dxa"/>
          </w:tcPr>
          <w:p w14:paraId="06AE0053" w14:textId="180E2A31" w:rsidR="00383BC7" w:rsidRPr="00846687" w:rsidRDefault="009D43A4" w:rsidP="00211F00">
            <w:pPr>
              <w:rPr>
                <w:b/>
              </w:rPr>
            </w:pPr>
            <w:r w:rsidRPr="009D43A4">
              <w:rPr>
                <w:b/>
              </w:rPr>
              <w:t>Kollegiale Beratung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5C4F3562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5BFEA82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E946B60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6F6FDF6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3CD8E97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0FE41DE3" w14:textId="77777777" w:rsidR="00383BC7" w:rsidRDefault="00383BC7" w:rsidP="00211F00"/>
        </w:tc>
        <w:tc>
          <w:tcPr>
            <w:tcW w:w="1275" w:type="dxa"/>
            <w:vMerge w:val="restart"/>
          </w:tcPr>
          <w:p w14:paraId="3D5B3793" w14:textId="77777777" w:rsidR="00383BC7" w:rsidRDefault="00383BC7" w:rsidP="00211F00"/>
        </w:tc>
      </w:tr>
      <w:tr w:rsidR="00383BC7" w:rsidRPr="00B42B07" w14:paraId="296764D1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31D9C2C4" w14:textId="77777777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QAB90, QAB60, SOVL90, SOVL60, SOVL30, SOVL20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A119EF7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610C2153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60A6BF5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E935C7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lastRenderedPageBreak/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64F70C9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3662CEC5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1C61CFE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Kompetenzen in der kollegialen Beratung</w:t>
            </w:r>
          </w:p>
          <w:p w14:paraId="2852FA3E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Modelle für kollegiale Beratung</w:t>
            </w:r>
          </w:p>
          <w:p w14:paraId="1256D852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Methodenrepertoire für Beratungstreffen</w:t>
            </w:r>
          </w:p>
          <w:p w14:paraId="78072ADE" w14:textId="28B58A52" w:rsidR="00383BC7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Reflexion eigener Unterrichtserfahrungen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460484AE" w14:textId="77777777" w:rsidR="00383BC7" w:rsidRDefault="00383BC7" w:rsidP="00211F00"/>
        </w:tc>
      </w:tr>
    </w:tbl>
    <w:p w14:paraId="593CA5B5" w14:textId="07A320F4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640ED53C" w14:textId="77777777" w:rsidTr="00211F00">
        <w:tc>
          <w:tcPr>
            <w:tcW w:w="5240" w:type="dxa"/>
          </w:tcPr>
          <w:p w14:paraId="1AE85762" w14:textId="29EED70A" w:rsidR="00383BC7" w:rsidRPr="00846687" w:rsidRDefault="009D43A4" w:rsidP="00211F00">
            <w:pPr>
              <w:rPr>
                <w:b/>
              </w:rPr>
            </w:pPr>
            <w:r w:rsidRPr="009D43A4">
              <w:rPr>
                <w:b/>
              </w:rPr>
              <w:t>Entwicklungsräume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5E6CFF46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68A14DF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4F6CD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2A43FFD1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8173EEF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1ED60C07" w14:textId="77777777" w:rsidR="00383BC7" w:rsidRDefault="00383BC7" w:rsidP="00211F00"/>
        </w:tc>
        <w:tc>
          <w:tcPr>
            <w:tcW w:w="1275" w:type="dxa"/>
            <w:vMerge w:val="restart"/>
          </w:tcPr>
          <w:p w14:paraId="14981AAC" w14:textId="77777777" w:rsidR="00383BC7" w:rsidRDefault="00383BC7" w:rsidP="00211F00"/>
        </w:tc>
      </w:tr>
      <w:tr w:rsidR="00383BC7" w:rsidRPr="00211F00" w14:paraId="5BF6DD51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DB9CBC5" w14:textId="35CB114F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2BCB0C0D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279A0D24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5B8D7335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89551F5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375DC3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33B0B75D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D4D434F" w14:textId="70F931E2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Individuelle Verschiedenheit</w:t>
            </w:r>
          </w:p>
          <w:p w14:paraId="181C1913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Begabungs- und Potentialentwicklung</w:t>
            </w:r>
          </w:p>
          <w:p w14:paraId="08FAAC9F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Employability und Lebenslanges Lernen</w:t>
            </w:r>
          </w:p>
          <w:p w14:paraId="13BD0484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Übergang von der Schule in die Arbeitswelt</w:t>
            </w:r>
          </w:p>
          <w:p w14:paraId="5562EAA2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Übergangs- bzw. Schnittstellenpädagogik</w:t>
            </w:r>
          </w:p>
          <w:p w14:paraId="4ED028E9" w14:textId="77777777" w:rsidR="009D43A4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Entwicklungsbedingte Herausforderungen, insbesondere Krisen der Adoleszenz</w:t>
            </w:r>
          </w:p>
          <w:p w14:paraId="5C899A8F" w14:textId="22BE473E" w:rsidR="00383BC7" w:rsidRDefault="009D43A4" w:rsidP="009D43A4">
            <w:pPr>
              <w:pStyle w:val="Listenabsatz"/>
              <w:numPr>
                <w:ilvl w:val="0"/>
                <w:numId w:val="1"/>
              </w:numPr>
            </w:pPr>
            <w:r>
              <w:t>Sensibilisierung für psychosoziale Problemlagen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25FB45C7" w14:textId="77777777" w:rsidR="00383BC7" w:rsidRDefault="00383BC7" w:rsidP="00211F00"/>
        </w:tc>
      </w:tr>
    </w:tbl>
    <w:p w14:paraId="2A0466B2" w14:textId="77777777" w:rsidR="009D43A4" w:rsidRDefault="009D43A4" w:rsidP="009D43A4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9D43A4" w14:paraId="0A82AE1D" w14:textId="77777777" w:rsidTr="00211F00">
        <w:tc>
          <w:tcPr>
            <w:tcW w:w="5240" w:type="dxa"/>
          </w:tcPr>
          <w:p w14:paraId="05E470FE" w14:textId="5B047458" w:rsidR="009D43A4" w:rsidRPr="00846687" w:rsidRDefault="004E04DF" w:rsidP="00211F00">
            <w:pPr>
              <w:rPr>
                <w:b/>
              </w:rPr>
            </w:pPr>
            <w:r w:rsidRPr="004E04DF">
              <w:rPr>
                <w:b/>
              </w:rPr>
              <w:t>Lebenswelten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7CF67D6" w14:textId="77777777" w:rsidR="009D43A4" w:rsidRPr="0098484E" w:rsidRDefault="009D43A4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ACF52FC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EAF6A02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9D43A4" w14:paraId="23F08562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25E4AC7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06678FA2" w14:textId="77777777" w:rsidR="009D43A4" w:rsidRDefault="009D43A4" w:rsidP="00211F00"/>
        </w:tc>
        <w:tc>
          <w:tcPr>
            <w:tcW w:w="1275" w:type="dxa"/>
            <w:vMerge w:val="restart"/>
          </w:tcPr>
          <w:p w14:paraId="4DFDFD70" w14:textId="77777777" w:rsidR="009D43A4" w:rsidRDefault="009D43A4" w:rsidP="00211F00"/>
        </w:tc>
      </w:tr>
      <w:tr w:rsidR="009D43A4" w:rsidRPr="00211F00" w14:paraId="7CB48CA7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D39D651" w14:textId="77777777" w:rsidR="009D43A4" w:rsidRPr="00F66FB8" w:rsidRDefault="009D43A4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EDFD9D7" w14:textId="77777777" w:rsidR="009D43A4" w:rsidRPr="00F66FB8" w:rsidRDefault="009D43A4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3CB4BC9C" w14:textId="77777777" w:rsidR="009D43A4" w:rsidRPr="00F66FB8" w:rsidRDefault="009D43A4" w:rsidP="00211F00">
            <w:pPr>
              <w:rPr>
                <w:lang w:val="en-US"/>
              </w:rPr>
            </w:pPr>
          </w:p>
        </w:tc>
      </w:tr>
      <w:tr w:rsidR="009D43A4" w14:paraId="5F34E4C9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3584D6A8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42BCBC4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9D43A4" w14:paraId="397327B4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16EBE3BE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Bildungsbarrieren und Chancen im Schulsystem</w:t>
            </w:r>
          </w:p>
          <w:p w14:paraId="728CB64E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Herkunftsbedingte Ungleichheiten</w:t>
            </w:r>
          </w:p>
          <w:p w14:paraId="1B3AB6B7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Interkulturelle Kompetenz</w:t>
            </w:r>
          </w:p>
          <w:p w14:paraId="36803F02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Geschlechterkonstruktionen</w:t>
            </w:r>
          </w:p>
          <w:p w14:paraId="70FDEFDD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Umgang mit Gewalt und Aggression</w:t>
            </w:r>
          </w:p>
          <w:p w14:paraId="0B39D0E9" w14:textId="58E7DDB5" w:rsidR="009D43A4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Umgang mit Belastungen (Konfliktmanagement, Stress- und Zeitmanagement)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44101E9C" w14:textId="77777777" w:rsidR="009D43A4" w:rsidRDefault="009D43A4" w:rsidP="00211F00"/>
        </w:tc>
      </w:tr>
    </w:tbl>
    <w:p w14:paraId="11C706D9" w14:textId="77777777" w:rsidR="009D43A4" w:rsidRDefault="009D43A4" w:rsidP="009D43A4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9D43A4" w14:paraId="4252B404" w14:textId="77777777" w:rsidTr="00211F00">
        <w:tc>
          <w:tcPr>
            <w:tcW w:w="5240" w:type="dxa"/>
          </w:tcPr>
          <w:p w14:paraId="1B5E803C" w14:textId="5B67F789" w:rsidR="009D43A4" w:rsidRPr="00846687" w:rsidRDefault="004E04DF" w:rsidP="00211F00">
            <w:pPr>
              <w:rPr>
                <w:b/>
              </w:rPr>
            </w:pPr>
            <w:r w:rsidRPr="004E04DF">
              <w:rPr>
                <w:b/>
              </w:rPr>
              <w:t>Menschenrechte und (inter-)religiöse Bildung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36A49A1" w14:textId="77777777" w:rsidR="009D43A4" w:rsidRPr="0098484E" w:rsidRDefault="009D43A4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F975211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B34594E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9D43A4" w14:paraId="6805E8C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9D0DD82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5CCEBF2F" w14:textId="77777777" w:rsidR="009D43A4" w:rsidRDefault="009D43A4" w:rsidP="00211F00"/>
        </w:tc>
        <w:tc>
          <w:tcPr>
            <w:tcW w:w="1275" w:type="dxa"/>
            <w:vMerge w:val="restart"/>
          </w:tcPr>
          <w:p w14:paraId="02894AC4" w14:textId="77777777" w:rsidR="009D43A4" w:rsidRDefault="009D43A4" w:rsidP="00211F00"/>
        </w:tc>
      </w:tr>
      <w:tr w:rsidR="009D43A4" w:rsidRPr="00211F00" w14:paraId="4FEE4B84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5BF7D73" w14:textId="77777777" w:rsidR="009D43A4" w:rsidRPr="00F66FB8" w:rsidRDefault="009D43A4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5E3C71E1" w14:textId="77777777" w:rsidR="009D43A4" w:rsidRPr="00F66FB8" w:rsidRDefault="009D43A4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4FE99B0E" w14:textId="77777777" w:rsidR="009D43A4" w:rsidRPr="00F66FB8" w:rsidRDefault="009D43A4" w:rsidP="00211F00">
            <w:pPr>
              <w:rPr>
                <w:lang w:val="en-US"/>
              </w:rPr>
            </w:pPr>
          </w:p>
        </w:tc>
      </w:tr>
      <w:tr w:rsidR="009D43A4" w14:paraId="21D4C72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3D3E238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29A3AF5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9D43A4" w14:paraId="36291C50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95D8CBE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Religion unter ethischen Perspektiven bzw. Fragestellungen</w:t>
            </w:r>
          </w:p>
          <w:p w14:paraId="74ED3ED2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Allgemeine Menschenrechte – Menschenwürde</w:t>
            </w:r>
          </w:p>
          <w:p w14:paraId="4C8FEA69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Aktuelle Aspekte der Migrationspädagogik und Migrationskommunikation</w:t>
            </w:r>
          </w:p>
          <w:p w14:paraId="48209C2E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Kinderrechte – Partizipation</w:t>
            </w:r>
          </w:p>
          <w:p w14:paraId="261468FA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Rechte von Menschen mit Beeinträchtigungen, Bildungsgerechtigkeit</w:t>
            </w:r>
          </w:p>
          <w:p w14:paraId="7AEA2B6A" w14:textId="780C179B" w:rsidR="009D43A4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Konfessionelle und (inter-)religiöse Kooperation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04907D71" w14:textId="77777777" w:rsidR="009D43A4" w:rsidRDefault="009D43A4" w:rsidP="00211F00"/>
        </w:tc>
      </w:tr>
    </w:tbl>
    <w:p w14:paraId="622FEEBE" w14:textId="77777777" w:rsidR="009D43A4" w:rsidRDefault="009D43A4" w:rsidP="009D43A4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9D43A4" w14:paraId="127DFB08" w14:textId="77777777" w:rsidTr="00211F00">
        <w:tc>
          <w:tcPr>
            <w:tcW w:w="5240" w:type="dxa"/>
          </w:tcPr>
          <w:p w14:paraId="63E6EC60" w14:textId="64F4BF81" w:rsidR="009D43A4" w:rsidRPr="00846687" w:rsidRDefault="004E04DF" w:rsidP="00211F00">
            <w:pPr>
              <w:rPr>
                <w:b/>
              </w:rPr>
            </w:pPr>
            <w:r w:rsidRPr="004E04DF">
              <w:rPr>
                <w:b/>
              </w:rPr>
              <w:t>Kommunikationsräume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D071AA8" w14:textId="77777777" w:rsidR="009D43A4" w:rsidRPr="0098484E" w:rsidRDefault="009D43A4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4967B92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0F5008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9D43A4" w14:paraId="2F800B9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6141742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4BCCFF0A" w14:textId="77777777" w:rsidR="009D43A4" w:rsidRDefault="009D43A4" w:rsidP="00211F00"/>
        </w:tc>
        <w:tc>
          <w:tcPr>
            <w:tcW w:w="1275" w:type="dxa"/>
            <w:vMerge w:val="restart"/>
          </w:tcPr>
          <w:p w14:paraId="12610817" w14:textId="77777777" w:rsidR="009D43A4" w:rsidRDefault="009D43A4" w:rsidP="00211F00"/>
        </w:tc>
      </w:tr>
      <w:tr w:rsidR="009D43A4" w:rsidRPr="00211F00" w14:paraId="43B70F8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E4939EE" w14:textId="77777777" w:rsidR="009D43A4" w:rsidRPr="00F66FB8" w:rsidRDefault="009D43A4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3A404165" w14:textId="77777777" w:rsidR="009D43A4" w:rsidRPr="00F66FB8" w:rsidRDefault="009D43A4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4E1982AD" w14:textId="77777777" w:rsidR="009D43A4" w:rsidRPr="00F66FB8" w:rsidRDefault="009D43A4" w:rsidP="00211F00">
            <w:pPr>
              <w:rPr>
                <w:lang w:val="en-US"/>
              </w:rPr>
            </w:pPr>
          </w:p>
        </w:tc>
      </w:tr>
      <w:tr w:rsidR="009D43A4" w14:paraId="7F5FC72F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0DB5800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9CBED69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9D43A4" w14:paraId="46C097E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D6D647B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Multi-</w:t>
            </w:r>
            <w:proofErr w:type="spellStart"/>
            <w:r>
              <w:t>Monolingualität</w:t>
            </w:r>
            <w:proofErr w:type="spellEnd"/>
            <w:r>
              <w:t xml:space="preserve"> und Mehrsprachigkeit </w:t>
            </w:r>
          </w:p>
          <w:p w14:paraId="68B4CBBA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Deutsch als Zweitsprache</w:t>
            </w:r>
          </w:p>
          <w:p w14:paraId="7AF880F3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Sprachsensibler Unterricht</w:t>
            </w:r>
          </w:p>
          <w:p w14:paraId="18694173" w14:textId="2A77D713" w:rsidR="009D43A4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Beratungsgespräche mit Eltern und Schüler*innen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1900977F" w14:textId="77777777" w:rsidR="009D43A4" w:rsidRDefault="009D43A4" w:rsidP="00211F00"/>
        </w:tc>
      </w:tr>
    </w:tbl>
    <w:p w14:paraId="658FB482" w14:textId="77777777" w:rsidR="009D43A4" w:rsidRDefault="009D43A4" w:rsidP="009D43A4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9D43A4" w14:paraId="16F31035" w14:textId="77777777" w:rsidTr="00211F00">
        <w:tc>
          <w:tcPr>
            <w:tcW w:w="5240" w:type="dxa"/>
          </w:tcPr>
          <w:p w14:paraId="550CBF49" w14:textId="6BB8559E" w:rsidR="009D43A4" w:rsidRPr="00846687" w:rsidRDefault="004E04DF" w:rsidP="00211F00">
            <w:pPr>
              <w:rPr>
                <w:b/>
              </w:rPr>
            </w:pPr>
            <w:r w:rsidRPr="004E04DF">
              <w:rPr>
                <w:b/>
              </w:rPr>
              <w:t>Schulwelten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6513281D" w14:textId="77777777" w:rsidR="009D43A4" w:rsidRPr="0098484E" w:rsidRDefault="009D43A4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AF6BD26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C321C3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9D43A4" w14:paraId="73390155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5C176FB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69FE37B9" w14:textId="77777777" w:rsidR="009D43A4" w:rsidRDefault="009D43A4" w:rsidP="00211F00"/>
        </w:tc>
        <w:tc>
          <w:tcPr>
            <w:tcW w:w="1275" w:type="dxa"/>
            <w:vMerge w:val="restart"/>
          </w:tcPr>
          <w:p w14:paraId="58ACAB6B" w14:textId="77777777" w:rsidR="009D43A4" w:rsidRDefault="009D43A4" w:rsidP="00211F00"/>
        </w:tc>
      </w:tr>
      <w:tr w:rsidR="009D43A4" w:rsidRPr="00211F00" w14:paraId="10740334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CF5156F" w14:textId="77777777" w:rsidR="009D43A4" w:rsidRPr="00F66FB8" w:rsidRDefault="009D43A4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QAB60, SOVL90, SOVL60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11443166" w14:textId="77777777" w:rsidR="009D43A4" w:rsidRPr="00F66FB8" w:rsidRDefault="009D43A4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0027C317" w14:textId="77777777" w:rsidR="009D43A4" w:rsidRPr="00F66FB8" w:rsidRDefault="009D43A4" w:rsidP="00211F00">
            <w:pPr>
              <w:rPr>
                <w:lang w:val="en-US"/>
              </w:rPr>
            </w:pPr>
          </w:p>
        </w:tc>
      </w:tr>
      <w:tr w:rsidR="009D43A4" w14:paraId="40046437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DAB9E0F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lastRenderedPageBreak/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BDB8830" w14:textId="77777777" w:rsidR="009D43A4" w:rsidRPr="0098484E" w:rsidRDefault="009D43A4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9D43A4" w14:paraId="50ECFB3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393705B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Schulautonomie</w:t>
            </w:r>
          </w:p>
          <w:p w14:paraId="7A4A5069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Unterrichts- und Schulentwicklung</w:t>
            </w:r>
          </w:p>
          <w:p w14:paraId="0FFBC801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Qualitätssicherung und -entwicklung</w:t>
            </w:r>
          </w:p>
          <w:p w14:paraId="49348B94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Schulpartnerschaft, Elternarbeit und Beratung</w:t>
            </w:r>
          </w:p>
          <w:p w14:paraId="47FB4A86" w14:textId="77777777" w:rsidR="004E04DF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Kooperationen innerhalb und außerhalb der Schule</w:t>
            </w:r>
          </w:p>
          <w:p w14:paraId="03857677" w14:textId="0E66D46B" w:rsidR="009D43A4" w:rsidRDefault="004E04DF" w:rsidP="004E04DF">
            <w:pPr>
              <w:pStyle w:val="Listenabsatz"/>
              <w:numPr>
                <w:ilvl w:val="0"/>
                <w:numId w:val="1"/>
              </w:numPr>
            </w:pPr>
            <w:r>
              <w:t>Klassenführung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321E5699" w14:textId="77777777" w:rsidR="009D43A4" w:rsidRDefault="009D43A4" w:rsidP="00211F00"/>
        </w:tc>
      </w:tr>
    </w:tbl>
    <w:p w14:paraId="026B4CFE" w14:textId="788C1A0E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383BC7" w14:paraId="4A210FA1" w14:textId="77777777" w:rsidTr="00211F00">
        <w:tc>
          <w:tcPr>
            <w:tcW w:w="5240" w:type="dxa"/>
          </w:tcPr>
          <w:p w14:paraId="2612635D" w14:textId="4BD8B43D" w:rsidR="00383BC7" w:rsidRPr="00846687" w:rsidRDefault="00D024A5" w:rsidP="00211F00">
            <w:pPr>
              <w:rPr>
                <w:b/>
              </w:rPr>
            </w:pPr>
            <w:r w:rsidRPr="00D024A5">
              <w:rPr>
                <w:b/>
              </w:rPr>
              <w:t>Grundlagen des pädagogischen Lerncoachings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A7A9D7C" w14:textId="77777777" w:rsidR="00383BC7" w:rsidRPr="0098484E" w:rsidRDefault="00383BC7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CF8687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CBEBC8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383BC7" w14:paraId="23BE6D78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1616143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3FDD3602" w14:textId="77777777" w:rsidR="00383BC7" w:rsidRDefault="00383BC7" w:rsidP="00211F00"/>
        </w:tc>
        <w:tc>
          <w:tcPr>
            <w:tcW w:w="1275" w:type="dxa"/>
            <w:vMerge w:val="restart"/>
          </w:tcPr>
          <w:p w14:paraId="246DCF82" w14:textId="77777777" w:rsidR="00383BC7" w:rsidRDefault="00383BC7" w:rsidP="00211F00"/>
        </w:tc>
      </w:tr>
      <w:tr w:rsidR="00383BC7" w:rsidRPr="00211F00" w14:paraId="693593A8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B7A53C2" w14:textId="31266D51" w:rsidR="00383BC7" w:rsidRPr="00F66FB8" w:rsidRDefault="00383BC7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SOVL90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7EEC1808" w14:textId="77777777" w:rsidR="00383BC7" w:rsidRPr="00F66FB8" w:rsidRDefault="00383BC7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4262F3F3" w14:textId="77777777" w:rsidR="00383BC7" w:rsidRPr="00F66FB8" w:rsidRDefault="00383BC7" w:rsidP="00211F00">
            <w:pPr>
              <w:rPr>
                <w:lang w:val="en-US"/>
              </w:rPr>
            </w:pPr>
          </w:p>
        </w:tc>
      </w:tr>
      <w:tr w:rsidR="00383BC7" w14:paraId="429E1A4D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76E80D4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55114F6" w14:textId="77777777" w:rsidR="00383BC7" w:rsidRPr="0098484E" w:rsidRDefault="00383BC7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383BC7" w14:paraId="4D766390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55C3F88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Inhalte und Grenzen von Lerncoaching, wissenschaftliche Theorien </w:t>
            </w:r>
          </w:p>
          <w:p w14:paraId="4EFE2E21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Selbst- und Fremdwahrnehmung im pädagogischen Kontext </w:t>
            </w:r>
          </w:p>
          <w:p w14:paraId="083C8D25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Lösungsorientiertes Vorgehen im Lerncoaching </w:t>
            </w:r>
          </w:p>
          <w:p w14:paraId="15FF802A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Erstellung eines Handlungsplanes </w:t>
            </w:r>
          </w:p>
          <w:p w14:paraId="05E475D2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Motivationsarbeit/selbstregulierendes Handeln fördern </w:t>
            </w:r>
          </w:p>
          <w:p w14:paraId="4663DC68" w14:textId="2888B35C" w:rsidR="00383BC7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>Individuelles Lernen fördern: Lernmerkmale, Lernstrategien/-methoden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000B52DC" w14:textId="77777777" w:rsidR="00383BC7" w:rsidRDefault="00383BC7" w:rsidP="00211F00"/>
        </w:tc>
      </w:tr>
    </w:tbl>
    <w:p w14:paraId="4184FF39" w14:textId="77777777" w:rsidR="00D024A5" w:rsidRDefault="00D024A5" w:rsidP="00D024A5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D024A5" w14:paraId="1A6D9812" w14:textId="77777777" w:rsidTr="00211F00">
        <w:tc>
          <w:tcPr>
            <w:tcW w:w="5240" w:type="dxa"/>
          </w:tcPr>
          <w:p w14:paraId="263FF3D8" w14:textId="57363F2F" w:rsidR="00D024A5" w:rsidRPr="00846687" w:rsidRDefault="00D024A5" w:rsidP="00211F00">
            <w:pPr>
              <w:rPr>
                <w:b/>
              </w:rPr>
            </w:pPr>
            <w:r w:rsidRPr="00D024A5">
              <w:rPr>
                <w:b/>
              </w:rPr>
              <w:t>Pädagogisches Lerncoaching im Schulalltag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7E7A708B" w14:textId="77777777" w:rsidR="00D024A5" w:rsidRPr="0098484E" w:rsidRDefault="00D024A5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A3C84D9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EC15884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D024A5" w14:paraId="5B21F0A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96FB564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4D8EA8C6" w14:textId="77777777" w:rsidR="00D024A5" w:rsidRDefault="00D024A5" w:rsidP="00211F00"/>
        </w:tc>
        <w:tc>
          <w:tcPr>
            <w:tcW w:w="1275" w:type="dxa"/>
            <w:vMerge w:val="restart"/>
          </w:tcPr>
          <w:p w14:paraId="74EDA00C" w14:textId="77777777" w:rsidR="00D024A5" w:rsidRDefault="00D024A5" w:rsidP="00211F00"/>
        </w:tc>
      </w:tr>
      <w:tr w:rsidR="00D024A5" w:rsidRPr="00211F00" w14:paraId="7A5B4608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01B3B06" w14:textId="77777777" w:rsidR="00D024A5" w:rsidRPr="00F66FB8" w:rsidRDefault="00D024A5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SOVL90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6FB419A9" w14:textId="77777777" w:rsidR="00D024A5" w:rsidRPr="00F66FB8" w:rsidRDefault="00D024A5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6B496958" w14:textId="77777777" w:rsidR="00D024A5" w:rsidRPr="00F66FB8" w:rsidRDefault="00D024A5" w:rsidP="00211F00">
            <w:pPr>
              <w:rPr>
                <w:lang w:val="en-US"/>
              </w:rPr>
            </w:pPr>
          </w:p>
        </w:tc>
      </w:tr>
      <w:tr w:rsidR="00D024A5" w14:paraId="2BD64643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A9AA4DC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9B33A74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D024A5" w14:paraId="5475949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2B9ABA3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Gestaltung und Reflexion eines individuellen Lerncoachings </w:t>
            </w:r>
          </w:p>
          <w:p w14:paraId="07FA757E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 xml:space="preserve">Schüleraktivierende Gesprächsführung/Methoden im Lernentwicklungsgespräch </w:t>
            </w:r>
          </w:p>
          <w:p w14:paraId="2E7A1E1E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Techniken und Methoden für diversitätssensible Lernsettings </w:t>
            </w:r>
          </w:p>
          <w:p w14:paraId="5652552D" w14:textId="1DE23958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>Umsetzung von Lerncoaching in der eigenen Lerngruppe (Klassenverband)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2F9A7B36" w14:textId="77777777" w:rsidR="00D024A5" w:rsidRDefault="00D024A5" w:rsidP="00211F00"/>
        </w:tc>
      </w:tr>
    </w:tbl>
    <w:p w14:paraId="3DD34E9C" w14:textId="77777777" w:rsidR="00D024A5" w:rsidRDefault="00D024A5" w:rsidP="00D024A5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D024A5" w14:paraId="7C35FF0C" w14:textId="77777777" w:rsidTr="00211F00">
        <w:tc>
          <w:tcPr>
            <w:tcW w:w="5240" w:type="dxa"/>
          </w:tcPr>
          <w:p w14:paraId="6E7B8F03" w14:textId="1E2AFF6F" w:rsidR="00D024A5" w:rsidRPr="00846687" w:rsidRDefault="00D024A5" w:rsidP="00211F00">
            <w:pPr>
              <w:rPr>
                <w:b/>
              </w:rPr>
            </w:pPr>
            <w:r w:rsidRPr="00D024A5">
              <w:rPr>
                <w:b/>
              </w:rPr>
              <w:t>Reflexive Geschlechterpädagogik und schulische Gleichstellung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52A45DA" w14:textId="77777777" w:rsidR="00D024A5" w:rsidRPr="0098484E" w:rsidRDefault="00D024A5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1C67512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585E1D9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D024A5" w14:paraId="5521BB2A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3E86588F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430040B0" w14:textId="77777777" w:rsidR="00D024A5" w:rsidRDefault="00D024A5" w:rsidP="00211F00"/>
        </w:tc>
        <w:tc>
          <w:tcPr>
            <w:tcW w:w="1275" w:type="dxa"/>
            <w:vMerge w:val="restart"/>
          </w:tcPr>
          <w:p w14:paraId="7BBE7880" w14:textId="77777777" w:rsidR="00D024A5" w:rsidRDefault="00D024A5" w:rsidP="00211F00"/>
        </w:tc>
      </w:tr>
      <w:tr w:rsidR="00D024A5" w:rsidRPr="00211F00" w14:paraId="4EE4B507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A160D0F" w14:textId="77777777" w:rsidR="00D024A5" w:rsidRPr="00F66FB8" w:rsidRDefault="00D024A5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SOVL90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AFFA0EA" w14:textId="77777777" w:rsidR="00D024A5" w:rsidRPr="00F66FB8" w:rsidRDefault="00D024A5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0BCCE7C9" w14:textId="77777777" w:rsidR="00D024A5" w:rsidRPr="00F66FB8" w:rsidRDefault="00D024A5" w:rsidP="00211F00">
            <w:pPr>
              <w:rPr>
                <w:lang w:val="en-US"/>
              </w:rPr>
            </w:pPr>
          </w:p>
        </w:tc>
      </w:tr>
      <w:tr w:rsidR="00D024A5" w14:paraId="43ADC02B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3701B16C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7005AF1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D024A5" w14:paraId="0CF2E846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08851B3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>Bedeutung des übergreifenden Themas Reflexive Geschlechterpädagogik und Gleichstellung als vierter Teil des Lehrplans (UN-Agenda 2030/Nachhaltigkeitsziele: Ziele für nachhaltige Entwicklung [</w:t>
            </w:r>
            <w:proofErr w:type="spellStart"/>
            <w:r>
              <w:t>Sustainable</w:t>
            </w:r>
            <w:proofErr w:type="spellEnd"/>
            <w:r>
              <w:t xml:space="preserve"> Development Goals, SDGs usw.) </w:t>
            </w:r>
          </w:p>
          <w:p w14:paraId="08B2F4B5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Geschlechterreflexive Pädagogik und Gleichstellung als Dimension des schulischen Qualitätsmanagements und reflexive Koedukation als Möglichkeit, Genderfairness gezielt umzusetzen  </w:t>
            </w:r>
          </w:p>
          <w:p w14:paraId="54626B77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Geschlecht als Dimension von Schulerfolg </w:t>
            </w:r>
          </w:p>
          <w:p w14:paraId="5EC1A3E9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Bewusstsein für Geschlechterrollenstereotype </w:t>
            </w:r>
          </w:p>
          <w:p w14:paraId="45BA048D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Einbindung von Erziehungsberechtigten in die Gleichstellungsarbeit </w:t>
            </w:r>
          </w:p>
          <w:p w14:paraId="0C4D6613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Kooperationen mit Elternvereinen und -initiativen und anderen Entscheidungsträger*innen im schulischen Umfeld </w:t>
            </w:r>
          </w:p>
          <w:p w14:paraId="10519A02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Geschlechterrepräsentation in der schulischen Öffentlichkeitsarbeit </w:t>
            </w:r>
          </w:p>
          <w:p w14:paraId="7BB20BAE" w14:textId="258DED8F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Geschlechterverhältnisse und Raum, gendergerechte Gestaltung öffentlicher Bauten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78771F26" w14:textId="77777777" w:rsidR="00D024A5" w:rsidRDefault="00D024A5" w:rsidP="00211F00"/>
        </w:tc>
      </w:tr>
    </w:tbl>
    <w:p w14:paraId="5DC57575" w14:textId="77777777" w:rsidR="00D024A5" w:rsidRDefault="00D024A5" w:rsidP="00D024A5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D024A5" w14:paraId="338DA7FB" w14:textId="77777777" w:rsidTr="00211F00">
        <w:tc>
          <w:tcPr>
            <w:tcW w:w="5240" w:type="dxa"/>
          </w:tcPr>
          <w:p w14:paraId="7B37F3E6" w14:textId="0B35CE47" w:rsidR="00D024A5" w:rsidRPr="00846687" w:rsidRDefault="00D024A5" w:rsidP="00211F00">
            <w:pPr>
              <w:rPr>
                <w:b/>
              </w:rPr>
            </w:pPr>
            <w:r w:rsidRPr="00D024A5">
              <w:rPr>
                <w:b/>
              </w:rPr>
              <w:t>Genderbewusstheit in den Fächern, der Sprache und den Medien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C94BC10" w14:textId="77777777" w:rsidR="00D024A5" w:rsidRPr="0098484E" w:rsidRDefault="00D024A5" w:rsidP="00211F00">
            <w:pPr>
              <w:rPr>
                <w:b/>
              </w:rPr>
            </w:pPr>
            <w:r w:rsidRPr="0098484E">
              <w:rPr>
                <w:b/>
              </w:rPr>
              <w:t>5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FF6EE1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4D8900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D024A5" w14:paraId="48E2203E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C722000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21427558" w14:textId="77777777" w:rsidR="00D024A5" w:rsidRDefault="00D024A5" w:rsidP="00211F00"/>
        </w:tc>
        <w:tc>
          <w:tcPr>
            <w:tcW w:w="1275" w:type="dxa"/>
            <w:vMerge w:val="restart"/>
          </w:tcPr>
          <w:p w14:paraId="0D9C868A" w14:textId="77777777" w:rsidR="00D024A5" w:rsidRDefault="00D024A5" w:rsidP="00211F00"/>
        </w:tc>
      </w:tr>
      <w:tr w:rsidR="00D024A5" w:rsidRPr="00211F00" w14:paraId="362594FA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25FBC8A3" w14:textId="77777777" w:rsidR="00D024A5" w:rsidRPr="00F66FB8" w:rsidRDefault="00D024A5" w:rsidP="00211F00">
            <w:pPr>
              <w:rPr>
                <w:lang w:val="en-US"/>
              </w:rPr>
            </w:pPr>
            <w:r w:rsidRPr="00F66FB8">
              <w:rPr>
                <w:lang w:val="en-US"/>
              </w:rPr>
              <w:t>SOVL90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474CCE16" w14:textId="77777777" w:rsidR="00D024A5" w:rsidRPr="00F66FB8" w:rsidRDefault="00D024A5" w:rsidP="00211F0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688AF6A9" w14:textId="77777777" w:rsidR="00D024A5" w:rsidRPr="00F66FB8" w:rsidRDefault="00D024A5" w:rsidP="00211F00">
            <w:pPr>
              <w:rPr>
                <w:lang w:val="en-US"/>
              </w:rPr>
            </w:pPr>
          </w:p>
        </w:tc>
      </w:tr>
      <w:tr w:rsidR="00D024A5" w14:paraId="78E48E21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AD0FDA8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E9FF0C6" w14:textId="77777777" w:rsidR="00D024A5" w:rsidRPr="0098484E" w:rsidRDefault="00D024A5" w:rsidP="00211F00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D024A5" w14:paraId="1D56D522" w14:textId="77777777" w:rsidTr="00211F00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3558EBA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Lehrplanvorgaben verschiedener Unterrichtsfächer im Hinblick auf reflexive Geschlechterpädagogik und Gleichstellung sowie praktische Beispiele zur Umsetzung </w:t>
            </w:r>
          </w:p>
          <w:p w14:paraId="34515854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geschlechterreflexive Methodik und Didaktik </w:t>
            </w:r>
          </w:p>
          <w:p w14:paraId="2FB65194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gendersensible MINT-Förderung </w:t>
            </w:r>
          </w:p>
          <w:p w14:paraId="0064640D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vielfältige Lebensformen </w:t>
            </w:r>
          </w:p>
          <w:p w14:paraId="265EEC90" w14:textId="77777777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 xml:space="preserve">geschlechterbewusste Sprache </w:t>
            </w:r>
          </w:p>
          <w:p w14:paraId="732D7CA6" w14:textId="22A61FBD" w:rsidR="00D024A5" w:rsidRDefault="00D024A5" w:rsidP="00D024A5">
            <w:pPr>
              <w:pStyle w:val="Listenabsatz"/>
              <w:numPr>
                <w:ilvl w:val="0"/>
                <w:numId w:val="1"/>
              </w:numPr>
            </w:pPr>
            <w:r>
              <w:t>Gendernormen und Medienbildung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3313E577" w14:textId="77777777" w:rsidR="00D024A5" w:rsidRDefault="00D024A5" w:rsidP="00211F00"/>
        </w:tc>
      </w:tr>
    </w:tbl>
    <w:p w14:paraId="31D07B2E" w14:textId="602717C5" w:rsidR="00383BC7" w:rsidRDefault="00383BC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B42B07" w14:paraId="65D735D1" w14:textId="77777777" w:rsidTr="003F4AD4">
        <w:tc>
          <w:tcPr>
            <w:tcW w:w="5240" w:type="dxa"/>
          </w:tcPr>
          <w:p w14:paraId="475558CE" w14:textId="599A2E50" w:rsidR="00B42B07" w:rsidRPr="00846687" w:rsidRDefault="00B42B07" w:rsidP="003F4AD4">
            <w:pPr>
              <w:rPr>
                <w:b/>
              </w:rPr>
            </w:pPr>
            <w:r w:rsidRPr="00B42B07">
              <w:rPr>
                <w:b/>
              </w:rPr>
              <w:t>Forschungsbezogene Studien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303CC1FC" w14:textId="3A14F619" w:rsidR="00B42B07" w:rsidRPr="0098484E" w:rsidRDefault="00D92474" w:rsidP="003F4AD4">
            <w:pPr>
              <w:rPr>
                <w:b/>
              </w:rPr>
            </w:pPr>
            <w:r>
              <w:rPr>
                <w:b/>
              </w:rPr>
              <w:t>3</w:t>
            </w:r>
            <w:r w:rsidR="00B42B07" w:rsidRPr="0098484E">
              <w:rPr>
                <w:b/>
              </w:rPr>
              <w:t xml:space="preserve">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5EAB0A6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7878A73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B42B07" w14:paraId="501517D5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C387D2D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6E26F08D" w14:textId="77777777" w:rsidR="00B42B07" w:rsidRDefault="00B42B07" w:rsidP="003F4AD4"/>
        </w:tc>
        <w:tc>
          <w:tcPr>
            <w:tcW w:w="1275" w:type="dxa"/>
            <w:vMerge w:val="restart"/>
          </w:tcPr>
          <w:p w14:paraId="66E73CD1" w14:textId="77777777" w:rsidR="00B42B07" w:rsidRDefault="00B42B07" w:rsidP="003F4AD4"/>
        </w:tc>
      </w:tr>
      <w:tr w:rsidR="00B42B07" w:rsidRPr="00211F00" w14:paraId="408A83A5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4403486" w14:textId="77777777" w:rsidR="00B42B07" w:rsidRPr="00F66FB8" w:rsidRDefault="00B42B07" w:rsidP="003F4AD4">
            <w:pPr>
              <w:rPr>
                <w:lang w:val="en-US"/>
              </w:rPr>
            </w:pPr>
            <w:r w:rsidRPr="00F66FB8">
              <w:rPr>
                <w:lang w:val="en-US"/>
              </w:rPr>
              <w:t>QAB</w:t>
            </w:r>
            <w:r>
              <w:rPr>
                <w:lang w:val="en-US"/>
              </w:rPr>
              <w:t>9</w:t>
            </w:r>
            <w:r w:rsidRPr="00F66FB8">
              <w:rPr>
                <w:lang w:val="en-US"/>
              </w:rPr>
              <w:t>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3E2BD2F8" w14:textId="77777777" w:rsidR="00B42B07" w:rsidRPr="00F66FB8" w:rsidRDefault="00B42B07" w:rsidP="003F4AD4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32494937" w14:textId="77777777" w:rsidR="00B42B07" w:rsidRPr="00F66FB8" w:rsidRDefault="00B42B07" w:rsidP="003F4AD4">
            <w:pPr>
              <w:rPr>
                <w:lang w:val="en-US"/>
              </w:rPr>
            </w:pPr>
          </w:p>
        </w:tc>
      </w:tr>
      <w:tr w:rsidR="00B42B07" w14:paraId="28531793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CE9216B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6B3BC7F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B42B07" w14:paraId="729CF86C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4539B994" w14:textId="77777777" w:rsidR="00B42B07" w:rsidRDefault="00B42B07" w:rsidP="00B42B07">
            <w:pPr>
              <w:pStyle w:val="Listenabsatz"/>
              <w:numPr>
                <w:ilvl w:val="0"/>
                <w:numId w:val="1"/>
              </w:numPr>
            </w:pPr>
            <w:r>
              <w:t>Grundlagen wissenschaftlicher Arbeit,</w:t>
            </w:r>
          </w:p>
          <w:p w14:paraId="52912DB1" w14:textId="11CB2A48" w:rsidR="00B42B07" w:rsidRDefault="00B42B07" w:rsidP="00B42B07">
            <w:pPr>
              <w:pStyle w:val="Listenabsatz"/>
              <w:numPr>
                <w:ilvl w:val="0"/>
                <w:numId w:val="1"/>
              </w:numPr>
            </w:pPr>
            <w:r>
              <w:t>ethische Regeln der Wissenschaft,</w:t>
            </w:r>
          </w:p>
          <w:p w14:paraId="5EA4C4DB" w14:textId="3A21BBD0" w:rsidR="00B42B07" w:rsidRDefault="00B42B07" w:rsidP="00B42B07">
            <w:pPr>
              <w:pStyle w:val="Listenabsatz"/>
              <w:numPr>
                <w:ilvl w:val="0"/>
                <w:numId w:val="1"/>
              </w:numPr>
            </w:pPr>
            <w:r>
              <w:t>Durchführung praxisbezogener Forschungsstudien.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7220E278" w14:textId="77777777" w:rsidR="00B42B07" w:rsidRDefault="00B42B07" w:rsidP="003F4AD4"/>
        </w:tc>
      </w:tr>
    </w:tbl>
    <w:p w14:paraId="56C7BAC7" w14:textId="0AF3378E" w:rsidR="00B42B07" w:rsidRDefault="00B42B0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B42B07" w14:paraId="20072459" w14:textId="77777777" w:rsidTr="003F4AD4">
        <w:tc>
          <w:tcPr>
            <w:tcW w:w="5240" w:type="dxa"/>
          </w:tcPr>
          <w:p w14:paraId="34D882DD" w14:textId="0A506155" w:rsidR="00B42B07" w:rsidRPr="00846687" w:rsidRDefault="00B42B07" w:rsidP="003F4AD4">
            <w:pPr>
              <w:rPr>
                <w:b/>
              </w:rPr>
            </w:pPr>
            <w:r w:rsidRPr="00B42B07">
              <w:rPr>
                <w:b/>
              </w:rPr>
              <w:t>Schreibwerkstatt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71211FB0" w14:textId="0419F613" w:rsidR="00B42B07" w:rsidRPr="0098484E" w:rsidRDefault="00D92474" w:rsidP="003F4AD4">
            <w:pPr>
              <w:rPr>
                <w:b/>
              </w:rPr>
            </w:pPr>
            <w:r>
              <w:rPr>
                <w:b/>
              </w:rPr>
              <w:t>1</w:t>
            </w:r>
            <w:r w:rsidR="00B42B07" w:rsidRPr="0098484E">
              <w:rPr>
                <w:b/>
              </w:rPr>
              <w:t xml:space="preserve">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EC9A71D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1CC6E5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B42B07" w14:paraId="6F10FEF2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D0A260D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196291A6" w14:textId="77777777" w:rsidR="00B42B07" w:rsidRDefault="00B42B07" w:rsidP="003F4AD4"/>
        </w:tc>
        <w:tc>
          <w:tcPr>
            <w:tcW w:w="1275" w:type="dxa"/>
            <w:vMerge w:val="restart"/>
          </w:tcPr>
          <w:p w14:paraId="757A475F" w14:textId="77777777" w:rsidR="00B42B07" w:rsidRDefault="00B42B07" w:rsidP="003F4AD4"/>
        </w:tc>
      </w:tr>
      <w:tr w:rsidR="00B42B07" w:rsidRPr="00211F00" w14:paraId="0F15B819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7A11786E" w14:textId="77777777" w:rsidR="00B42B07" w:rsidRPr="00F66FB8" w:rsidRDefault="00B42B07" w:rsidP="003F4AD4">
            <w:pPr>
              <w:rPr>
                <w:lang w:val="en-US"/>
              </w:rPr>
            </w:pPr>
            <w:r w:rsidRPr="00F66FB8">
              <w:rPr>
                <w:lang w:val="en-US"/>
              </w:rPr>
              <w:t>QAB</w:t>
            </w:r>
            <w:r>
              <w:rPr>
                <w:lang w:val="en-US"/>
              </w:rPr>
              <w:t>9</w:t>
            </w:r>
            <w:r w:rsidRPr="00F66FB8">
              <w:rPr>
                <w:lang w:val="en-US"/>
              </w:rPr>
              <w:t>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B46112B" w14:textId="77777777" w:rsidR="00B42B07" w:rsidRPr="00F66FB8" w:rsidRDefault="00B42B07" w:rsidP="003F4AD4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1A0D662E" w14:textId="77777777" w:rsidR="00B42B07" w:rsidRPr="00F66FB8" w:rsidRDefault="00B42B07" w:rsidP="003F4AD4">
            <w:pPr>
              <w:rPr>
                <w:lang w:val="en-US"/>
              </w:rPr>
            </w:pPr>
          </w:p>
        </w:tc>
      </w:tr>
      <w:tr w:rsidR="00B42B07" w14:paraId="593DDAFF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F445233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B12546F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B42B07" w14:paraId="044B524C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3B46A7D9" w14:textId="1A44C74E" w:rsidR="00B42B07" w:rsidRDefault="00B42B07" w:rsidP="00B42B07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Beratung und Unterstützung des Schreibprozesses der Masterarbeit in Kleingruppen; Weiterentwicklung der</w:t>
            </w:r>
            <w:r>
              <w:t xml:space="preserve"> </w:t>
            </w:r>
            <w:r>
              <w:t>eigenen wissenschaftlichen Schreibkompetenz und Vertiefung im Umgang mit Fachliteratur und wissenschaftlichen Konventionen.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20A20FF8" w14:textId="77777777" w:rsidR="00B42B07" w:rsidRDefault="00B42B07" w:rsidP="003F4AD4"/>
        </w:tc>
      </w:tr>
    </w:tbl>
    <w:p w14:paraId="2FA700DA" w14:textId="58A0DFBC" w:rsidR="00B42B07" w:rsidRDefault="00B42B0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B42B07" w14:paraId="5B63609D" w14:textId="77777777" w:rsidTr="003F4AD4">
        <w:tc>
          <w:tcPr>
            <w:tcW w:w="5240" w:type="dxa"/>
          </w:tcPr>
          <w:p w14:paraId="4EC9131D" w14:textId="64FD25F7" w:rsidR="00B42B07" w:rsidRPr="00846687" w:rsidRDefault="00B42B07" w:rsidP="003F4AD4">
            <w:pPr>
              <w:rPr>
                <w:b/>
              </w:rPr>
            </w:pPr>
            <w:r w:rsidRPr="00B42B07">
              <w:rPr>
                <w:b/>
              </w:rPr>
              <w:t>Forschungswerkstatt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2EF2D62" w14:textId="2C9A70A0" w:rsidR="00B42B07" w:rsidRPr="0098484E" w:rsidRDefault="00D92474" w:rsidP="003F4AD4">
            <w:pPr>
              <w:rPr>
                <w:b/>
              </w:rPr>
            </w:pPr>
            <w:r>
              <w:rPr>
                <w:b/>
              </w:rPr>
              <w:t>2</w:t>
            </w:r>
            <w:r w:rsidR="00B42B07" w:rsidRPr="0098484E">
              <w:rPr>
                <w:b/>
              </w:rPr>
              <w:t xml:space="preserve">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CACC703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B5BCA0F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B42B07" w14:paraId="09BB3CC1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0E7E4599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1D40BAE7" w14:textId="77777777" w:rsidR="00B42B07" w:rsidRDefault="00B42B07" w:rsidP="003F4AD4"/>
        </w:tc>
        <w:tc>
          <w:tcPr>
            <w:tcW w:w="1275" w:type="dxa"/>
            <w:vMerge w:val="restart"/>
          </w:tcPr>
          <w:p w14:paraId="574EEBDC" w14:textId="77777777" w:rsidR="00B42B07" w:rsidRDefault="00B42B07" w:rsidP="003F4AD4"/>
        </w:tc>
      </w:tr>
      <w:tr w:rsidR="00B42B07" w:rsidRPr="00211F00" w14:paraId="492F0DCF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6F1665D1" w14:textId="77777777" w:rsidR="00B42B07" w:rsidRPr="00F66FB8" w:rsidRDefault="00B42B07" w:rsidP="003F4AD4">
            <w:pPr>
              <w:rPr>
                <w:lang w:val="en-US"/>
              </w:rPr>
            </w:pPr>
            <w:r w:rsidRPr="00F66FB8">
              <w:rPr>
                <w:lang w:val="en-US"/>
              </w:rPr>
              <w:t>QAB</w:t>
            </w:r>
            <w:r>
              <w:rPr>
                <w:lang w:val="en-US"/>
              </w:rPr>
              <w:t>9</w:t>
            </w:r>
            <w:r w:rsidRPr="00F66FB8">
              <w:rPr>
                <w:lang w:val="en-US"/>
              </w:rPr>
              <w:t>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494CFB7C" w14:textId="77777777" w:rsidR="00B42B07" w:rsidRPr="00F66FB8" w:rsidRDefault="00B42B07" w:rsidP="003F4AD4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2958A7EE" w14:textId="77777777" w:rsidR="00B42B07" w:rsidRPr="00F66FB8" w:rsidRDefault="00B42B07" w:rsidP="003F4AD4">
            <w:pPr>
              <w:rPr>
                <w:lang w:val="en-US"/>
              </w:rPr>
            </w:pPr>
          </w:p>
        </w:tc>
      </w:tr>
      <w:tr w:rsidR="00B42B07" w14:paraId="77444577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D318874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4CA434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B42B07" w14:paraId="7F303C38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2DA2B1B9" w14:textId="630E1239" w:rsidR="00B42B07" w:rsidRDefault="00B42B07" w:rsidP="00B42B07">
            <w:pPr>
              <w:pStyle w:val="Listenabsatz"/>
              <w:numPr>
                <w:ilvl w:val="0"/>
                <w:numId w:val="1"/>
              </w:numPr>
            </w:pPr>
            <w:r>
              <w:t>Beratung und Unterstützung des Forschungsprozesses der Masterarbeit in Kleingruppen; Weiterentwicklung</w:t>
            </w:r>
            <w:r>
              <w:t xml:space="preserve"> </w:t>
            </w:r>
            <w:r>
              <w:t>der eigenen wissenschaftlichen Forschungskompetenz.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5588E118" w14:textId="77777777" w:rsidR="00B42B07" w:rsidRDefault="00B42B07" w:rsidP="003F4AD4"/>
        </w:tc>
      </w:tr>
    </w:tbl>
    <w:p w14:paraId="2EB41CFE" w14:textId="78831CC3" w:rsidR="00B42B07" w:rsidRDefault="00B42B0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B42B07" w14:paraId="3271776B" w14:textId="77777777" w:rsidTr="003F4AD4">
        <w:tc>
          <w:tcPr>
            <w:tcW w:w="5240" w:type="dxa"/>
          </w:tcPr>
          <w:p w14:paraId="0B86B39C" w14:textId="28AB9467" w:rsidR="00B42B07" w:rsidRPr="00846687" w:rsidRDefault="00B42B07" w:rsidP="003F4AD4">
            <w:pPr>
              <w:rPr>
                <w:b/>
              </w:rPr>
            </w:pPr>
            <w:r w:rsidRPr="00B42B07">
              <w:rPr>
                <w:b/>
              </w:rPr>
              <w:t>Auswerten von wissenschaftlichen Daten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49A52291" w14:textId="079A3AA2" w:rsidR="00B42B07" w:rsidRPr="0098484E" w:rsidRDefault="00D92474" w:rsidP="003F4AD4">
            <w:pPr>
              <w:rPr>
                <w:b/>
              </w:rPr>
            </w:pPr>
            <w:r>
              <w:rPr>
                <w:b/>
              </w:rPr>
              <w:t>1</w:t>
            </w:r>
            <w:r w:rsidR="00B42B07" w:rsidRPr="0098484E">
              <w:rPr>
                <w:b/>
              </w:rPr>
              <w:t xml:space="preserve">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F2BE5AC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216DEE3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B42B07" w14:paraId="07EC00EA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5FF0C40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6485DEEC" w14:textId="77777777" w:rsidR="00B42B07" w:rsidRDefault="00B42B07" w:rsidP="003F4AD4"/>
        </w:tc>
        <w:tc>
          <w:tcPr>
            <w:tcW w:w="1275" w:type="dxa"/>
            <w:vMerge w:val="restart"/>
          </w:tcPr>
          <w:p w14:paraId="7EC5DE3F" w14:textId="77777777" w:rsidR="00B42B07" w:rsidRDefault="00B42B07" w:rsidP="003F4AD4"/>
        </w:tc>
      </w:tr>
      <w:tr w:rsidR="00B42B07" w:rsidRPr="00211F00" w14:paraId="0510B476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3EBC563" w14:textId="77777777" w:rsidR="00B42B07" w:rsidRPr="00F66FB8" w:rsidRDefault="00B42B07" w:rsidP="003F4AD4">
            <w:pPr>
              <w:rPr>
                <w:lang w:val="en-US"/>
              </w:rPr>
            </w:pPr>
            <w:r w:rsidRPr="00F66FB8">
              <w:rPr>
                <w:lang w:val="en-US"/>
              </w:rPr>
              <w:t>QAB</w:t>
            </w:r>
            <w:r>
              <w:rPr>
                <w:lang w:val="en-US"/>
              </w:rPr>
              <w:t>9</w:t>
            </w:r>
            <w:r w:rsidRPr="00F66FB8">
              <w:rPr>
                <w:lang w:val="en-US"/>
              </w:rPr>
              <w:t>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700192C" w14:textId="77777777" w:rsidR="00B42B07" w:rsidRPr="00F66FB8" w:rsidRDefault="00B42B07" w:rsidP="003F4AD4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29D254EC" w14:textId="77777777" w:rsidR="00B42B07" w:rsidRPr="00F66FB8" w:rsidRDefault="00B42B07" w:rsidP="003F4AD4">
            <w:pPr>
              <w:rPr>
                <w:lang w:val="en-US"/>
              </w:rPr>
            </w:pPr>
          </w:p>
        </w:tc>
      </w:tr>
      <w:tr w:rsidR="00B42B07" w14:paraId="46E2FA5C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CE7B45C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FFF0EAF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B42B07" w14:paraId="454302E5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34211B56" w14:textId="18922004" w:rsidR="00B42B07" w:rsidRDefault="00B42B07" w:rsidP="003F4AD4">
            <w:pPr>
              <w:pStyle w:val="Listenabsatz"/>
              <w:numPr>
                <w:ilvl w:val="0"/>
                <w:numId w:val="1"/>
              </w:numPr>
            </w:pPr>
            <w:r w:rsidRPr="00B42B07">
              <w:t>Auswertung und Analyse von wissenschaftlichen qualitativen oder quantitativen Daten.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75227081" w14:textId="77777777" w:rsidR="00B42B07" w:rsidRDefault="00B42B07" w:rsidP="003F4AD4"/>
        </w:tc>
      </w:tr>
    </w:tbl>
    <w:p w14:paraId="58F35EBF" w14:textId="36D2D2C0" w:rsidR="00B42B07" w:rsidRDefault="00B42B07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5240"/>
        <w:gridCol w:w="1276"/>
        <w:gridCol w:w="6379"/>
        <w:gridCol w:w="1275"/>
      </w:tblGrid>
      <w:tr w:rsidR="00B42B07" w14:paraId="715538A2" w14:textId="77777777" w:rsidTr="003F4AD4">
        <w:tc>
          <w:tcPr>
            <w:tcW w:w="5240" w:type="dxa"/>
          </w:tcPr>
          <w:p w14:paraId="025C5AD6" w14:textId="28CE241F" w:rsidR="00B42B07" w:rsidRPr="00846687" w:rsidRDefault="00B42B07" w:rsidP="003F4AD4">
            <w:pPr>
              <w:rPr>
                <w:b/>
              </w:rPr>
            </w:pPr>
            <w:r w:rsidRPr="00B42B07">
              <w:rPr>
                <w:b/>
              </w:rPr>
              <w:t>Dokumentation und Präsentation von wissenschaftlichen Daten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2C158348" w14:textId="0E6E5120" w:rsidR="00B42B07" w:rsidRPr="0098484E" w:rsidRDefault="00D92474" w:rsidP="003F4AD4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B42B07" w:rsidRPr="0098484E">
              <w:rPr>
                <w:b/>
              </w:rPr>
              <w:t xml:space="preserve"> ECTS-AP</w:t>
            </w:r>
          </w:p>
        </w:tc>
        <w:tc>
          <w:tcPr>
            <w:tcW w:w="637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05A3C32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Lehrveranstaltung aus Vorstudium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0C42F3E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ECTS-AP:</w:t>
            </w:r>
          </w:p>
        </w:tc>
      </w:tr>
      <w:tr w:rsidR="00B42B07" w14:paraId="214483A9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D6A9A42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Betreffende Hochschullehrgänge</w:t>
            </w:r>
            <w:r>
              <w:rPr>
                <w:i/>
              </w:rPr>
              <w:t>:</w:t>
            </w:r>
          </w:p>
        </w:tc>
        <w:tc>
          <w:tcPr>
            <w:tcW w:w="6379" w:type="dxa"/>
            <w:vMerge w:val="restart"/>
            <w:tcBorders>
              <w:left w:val="single" w:sz="24" w:space="0" w:color="auto"/>
            </w:tcBorders>
          </w:tcPr>
          <w:p w14:paraId="2DACB61C" w14:textId="77777777" w:rsidR="00B42B07" w:rsidRDefault="00B42B07" w:rsidP="003F4AD4"/>
        </w:tc>
        <w:tc>
          <w:tcPr>
            <w:tcW w:w="1275" w:type="dxa"/>
            <w:vMerge w:val="restart"/>
          </w:tcPr>
          <w:p w14:paraId="55D32BCF" w14:textId="77777777" w:rsidR="00B42B07" w:rsidRDefault="00B42B07" w:rsidP="003F4AD4"/>
        </w:tc>
      </w:tr>
      <w:tr w:rsidR="00B42B07" w:rsidRPr="00211F00" w14:paraId="7F545388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5C7BAD9B" w14:textId="77777777" w:rsidR="00B42B07" w:rsidRPr="00F66FB8" w:rsidRDefault="00B42B07" w:rsidP="003F4AD4">
            <w:pPr>
              <w:rPr>
                <w:lang w:val="en-US"/>
              </w:rPr>
            </w:pPr>
            <w:r w:rsidRPr="00F66FB8">
              <w:rPr>
                <w:lang w:val="en-US"/>
              </w:rPr>
              <w:t>QAB</w:t>
            </w:r>
            <w:r>
              <w:rPr>
                <w:lang w:val="en-US"/>
              </w:rPr>
              <w:t>9</w:t>
            </w:r>
            <w:r w:rsidRPr="00F66FB8">
              <w:rPr>
                <w:lang w:val="en-US"/>
              </w:rPr>
              <w:t>0</w:t>
            </w:r>
          </w:p>
        </w:tc>
        <w:tc>
          <w:tcPr>
            <w:tcW w:w="6379" w:type="dxa"/>
            <w:vMerge/>
            <w:tcBorders>
              <w:left w:val="single" w:sz="24" w:space="0" w:color="auto"/>
            </w:tcBorders>
          </w:tcPr>
          <w:p w14:paraId="0FBFEA87" w14:textId="77777777" w:rsidR="00B42B07" w:rsidRPr="00F66FB8" w:rsidRDefault="00B42B07" w:rsidP="003F4AD4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50950101" w14:textId="77777777" w:rsidR="00B42B07" w:rsidRPr="00F66FB8" w:rsidRDefault="00B42B07" w:rsidP="003F4AD4">
            <w:pPr>
              <w:rPr>
                <w:lang w:val="en-US"/>
              </w:rPr>
            </w:pPr>
          </w:p>
        </w:tc>
      </w:tr>
      <w:tr w:rsidR="00B42B07" w14:paraId="540E2354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115963E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</w:t>
            </w:r>
            <w:r>
              <w:rPr>
                <w:i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431C2E2" w14:textId="77777777" w:rsidR="00B42B07" w:rsidRPr="0098484E" w:rsidRDefault="00B42B07" w:rsidP="003F4AD4">
            <w:pPr>
              <w:rPr>
                <w:i/>
              </w:rPr>
            </w:pPr>
            <w:r w:rsidRPr="0098484E">
              <w:rPr>
                <w:i/>
              </w:rPr>
              <w:t>Inhalte und Ziele:</w:t>
            </w:r>
          </w:p>
        </w:tc>
      </w:tr>
      <w:tr w:rsidR="00B42B07" w14:paraId="1816365D" w14:textId="77777777" w:rsidTr="003F4AD4">
        <w:tc>
          <w:tcPr>
            <w:tcW w:w="6516" w:type="dxa"/>
            <w:gridSpan w:val="2"/>
            <w:tcBorders>
              <w:right w:val="single" w:sz="24" w:space="0" w:color="auto"/>
            </w:tcBorders>
          </w:tcPr>
          <w:p w14:paraId="03FA65C6" w14:textId="3E29FBED" w:rsidR="00B42B07" w:rsidRDefault="00B42B07" w:rsidP="003F4AD4">
            <w:pPr>
              <w:pStyle w:val="Listenabsatz"/>
              <w:numPr>
                <w:ilvl w:val="0"/>
                <w:numId w:val="1"/>
              </w:numPr>
            </w:pPr>
            <w:r w:rsidRPr="00B42B07">
              <w:t>Dokumentation und Präsentation von wissenschaftlichen Daten</w:t>
            </w:r>
            <w:r>
              <w:t>.</w:t>
            </w: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14:paraId="381EFE80" w14:textId="77777777" w:rsidR="00B42B07" w:rsidRDefault="00B42B07" w:rsidP="003F4AD4"/>
        </w:tc>
      </w:tr>
    </w:tbl>
    <w:p w14:paraId="72A60D3C" w14:textId="6BB27C73" w:rsidR="00476D40" w:rsidRDefault="00476D40" w:rsidP="001744F9"/>
    <w:p w14:paraId="00EBB877" w14:textId="77777777" w:rsidR="00476D40" w:rsidRDefault="00476D40">
      <w:r>
        <w:br w:type="page"/>
      </w:r>
    </w:p>
    <w:p w14:paraId="568F345D" w14:textId="0BCEA126" w:rsidR="001744F9" w:rsidRDefault="001744F9" w:rsidP="00CC24B7">
      <w:pPr>
        <w:jc w:val="both"/>
      </w:pPr>
      <w:r>
        <w:lastRenderedPageBreak/>
        <w:t>Nach erfolgter Prüfung erhalten Sie dieses Dokument als PDF unterfertigt von Ihrer Lehrgangsleitung zurück. Bitte Laden Sie dann alle Notwendigen Dokumente für die zur Anerkennung genehmigten Lehrveranstaltungen in PH Online.</w:t>
      </w:r>
      <w:r w:rsidR="00476D40">
        <w:t xml:space="preserve"> </w:t>
      </w:r>
      <w:r>
        <w:t xml:space="preserve">Senden Sie diese Gegenüberstellung, auch von Ihnen unterfertigt und die Information über Ihre Eingabe an Irene Beier: </w:t>
      </w:r>
      <w:hyperlink r:id="rId10" w:history="1">
        <w:r w:rsidR="00476D40" w:rsidRPr="00476D40">
          <w:rPr>
            <w:rStyle w:val="Hyperlink"/>
          </w:rPr>
          <w:t>mailto:irene.beier@ph-noe.ac.at</w:t>
        </w:r>
      </w:hyperlink>
      <w:r w:rsidR="00476D40">
        <w:t>.</w:t>
      </w:r>
    </w:p>
    <w:p w14:paraId="3E48BF19" w14:textId="77777777" w:rsidR="006046A6" w:rsidRDefault="006046A6"/>
    <w:p w14:paraId="4F8C0D0E" w14:textId="57F07A90" w:rsidR="006046A6" w:rsidRDefault="006046A6" w:rsidP="006046A6">
      <w:r>
        <w:sym w:font="Wingdings" w:char="F0A8"/>
      </w:r>
      <w:r>
        <w:t xml:space="preserve"> Nachweise wurden im Studierendenakt hochgeladen, wobei die </w:t>
      </w:r>
      <w:r w:rsidR="00476D40">
        <w:t>eingereichten</w:t>
      </w:r>
      <w:r>
        <w:t xml:space="preserve"> Lehrveranstaltungen markiert wurden. </w:t>
      </w:r>
    </w:p>
    <w:p w14:paraId="3F9AC4DF" w14:textId="77777777" w:rsidR="00CA548E" w:rsidRDefault="00CA548E" w:rsidP="006046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3243"/>
        <w:gridCol w:w="2138"/>
        <w:gridCol w:w="3314"/>
        <w:gridCol w:w="1801"/>
        <w:gridCol w:w="2930"/>
      </w:tblGrid>
      <w:tr w:rsidR="00CA548E" w14:paraId="54BFAB1C" w14:textId="77777777" w:rsidTr="00CA548E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760C4B2" w14:textId="29F7C28B" w:rsidR="00CA548E" w:rsidRDefault="00CA548E" w:rsidP="006046A6">
            <w:r>
              <w:t>Name: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6D063" w14:textId="23262E25" w:rsidR="00CA548E" w:rsidRDefault="00CA548E" w:rsidP="006046A6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5512C6" w14:textId="4CF255E7" w:rsidR="00CA548E" w:rsidRDefault="00CA548E" w:rsidP="006046A6">
            <w:r>
              <w:t>Hochschullehrgang: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E013C" w14:textId="43840F8F" w:rsidR="00CA548E" w:rsidRDefault="00CA548E" w:rsidP="006046A6"/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F422354" w14:textId="12E66D25" w:rsidR="00CA548E" w:rsidRDefault="00CA548E" w:rsidP="006046A6">
            <w:r>
              <w:t>Unterrichtsfach: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220C2" w14:textId="7622CC26" w:rsidR="00CA548E" w:rsidRDefault="00CA548E" w:rsidP="006046A6"/>
        </w:tc>
      </w:tr>
    </w:tbl>
    <w:p w14:paraId="5E17642E" w14:textId="60A0D3B4" w:rsidR="00CA548E" w:rsidRDefault="00CA548E" w:rsidP="006046A6"/>
    <w:p w14:paraId="4ADDBD76" w14:textId="11979E27" w:rsidR="006046A6" w:rsidRDefault="006046A6" w:rsidP="006046A6"/>
    <w:p w14:paraId="009AF59E" w14:textId="77777777" w:rsidR="00BF62C2" w:rsidRDefault="00BF62C2" w:rsidP="006046A6"/>
    <w:p w14:paraId="37BA2D83" w14:textId="77777777" w:rsidR="006046A6" w:rsidRDefault="006046A6" w:rsidP="006046A6"/>
    <w:tbl>
      <w:tblPr>
        <w:tblStyle w:val="Tabellenraster"/>
        <w:tblW w:w="14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844"/>
        <w:gridCol w:w="5077"/>
      </w:tblGrid>
      <w:tr w:rsidR="006046A6" w14:paraId="1F4A79AD" w14:textId="77777777" w:rsidTr="00211F00">
        <w:trPr>
          <w:trHeight w:val="305"/>
        </w:trPr>
        <w:tc>
          <w:tcPr>
            <w:tcW w:w="4385" w:type="dxa"/>
            <w:tcBorders>
              <w:top w:val="single" w:sz="4" w:space="0" w:color="auto"/>
            </w:tcBorders>
          </w:tcPr>
          <w:p w14:paraId="7C70C5AA" w14:textId="77777777" w:rsidR="006046A6" w:rsidRDefault="006046A6" w:rsidP="00211F00">
            <w:pPr>
              <w:jc w:val="center"/>
            </w:pPr>
            <w:r>
              <w:t>Datum</w:t>
            </w:r>
          </w:p>
        </w:tc>
        <w:tc>
          <w:tcPr>
            <w:tcW w:w="4844" w:type="dxa"/>
          </w:tcPr>
          <w:p w14:paraId="0D5C0B1D" w14:textId="77777777" w:rsidR="006046A6" w:rsidRDefault="006046A6" w:rsidP="00211F00"/>
        </w:tc>
        <w:tc>
          <w:tcPr>
            <w:tcW w:w="5077" w:type="dxa"/>
            <w:tcBorders>
              <w:top w:val="single" w:sz="4" w:space="0" w:color="auto"/>
            </w:tcBorders>
          </w:tcPr>
          <w:p w14:paraId="1F2310DC" w14:textId="77777777" w:rsidR="006046A6" w:rsidRDefault="006046A6" w:rsidP="00211F00">
            <w:pPr>
              <w:jc w:val="center"/>
            </w:pPr>
            <w:r>
              <w:t>Unterschrift</w:t>
            </w:r>
          </w:p>
        </w:tc>
      </w:tr>
    </w:tbl>
    <w:p w14:paraId="027B4ED6" w14:textId="4C131796" w:rsidR="006046A6" w:rsidRDefault="006046A6"/>
    <w:p w14:paraId="137CB1A8" w14:textId="007A56EE" w:rsidR="003F3B15" w:rsidRPr="00D535DF" w:rsidRDefault="003F3B15">
      <w:pPr>
        <w:rPr>
          <w:i/>
        </w:rPr>
      </w:pPr>
      <w:r w:rsidRPr="00D535DF">
        <w:rPr>
          <w:i/>
        </w:rPr>
        <w:t>Von der Lehrgangsleitung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1744F9" w14:paraId="0D9A1EDA" w14:textId="77777777" w:rsidTr="00D535DF">
        <w:tc>
          <w:tcPr>
            <w:tcW w:w="14279" w:type="dxa"/>
            <w:tcBorders>
              <w:top w:val="single" w:sz="8" w:space="0" w:color="000000" w:themeColor="text1"/>
            </w:tcBorders>
          </w:tcPr>
          <w:p w14:paraId="7946D411" w14:textId="77777777" w:rsidR="00BF62C2" w:rsidRDefault="00BF62C2" w:rsidP="001744F9"/>
          <w:p w14:paraId="6D707B5E" w14:textId="344C96ED" w:rsidR="00BF62C2" w:rsidRDefault="001744F9" w:rsidP="001744F9">
            <w:r>
              <w:t>Folgende Lehrveranstaltungen können anerkannt werden: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043"/>
            </w:tblGrid>
            <w:tr w:rsidR="001744F9" w14:paraId="3A2A0426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0197DDF0" w14:textId="77777777" w:rsidR="001744F9" w:rsidRDefault="001744F9"/>
              </w:tc>
            </w:tr>
            <w:tr w:rsidR="001744F9" w14:paraId="5C026AC2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78EDF5FA" w14:textId="77777777" w:rsidR="001744F9" w:rsidRDefault="001744F9"/>
              </w:tc>
            </w:tr>
            <w:tr w:rsidR="001744F9" w14:paraId="5231C0AE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63C686E4" w14:textId="77777777" w:rsidR="001744F9" w:rsidRDefault="001744F9"/>
              </w:tc>
            </w:tr>
            <w:tr w:rsidR="001744F9" w14:paraId="41C66DB1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59B9A39C" w14:textId="77777777" w:rsidR="001744F9" w:rsidRDefault="001744F9"/>
              </w:tc>
            </w:tr>
            <w:tr w:rsidR="001744F9" w14:paraId="44274B4E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746AE6DB" w14:textId="77777777" w:rsidR="001744F9" w:rsidRDefault="001744F9"/>
              </w:tc>
            </w:tr>
            <w:tr w:rsidR="001744F9" w14:paraId="57A6BED5" w14:textId="77777777" w:rsidTr="00D535DF">
              <w:tc>
                <w:tcPr>
                  <w:tcW w:w="1405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</w:tcPr>
                <w:p w14:paraId="12DD8793" w14:textId="77777777" w:rsidR="001744F9" w:rsidRDefault="001744F9"/>
              </w:tc>
            </w:tr>
          </w:tbl>
          <w:p w14:paraId="51E125D0" w14:textId="2C6464A5" w:rsidR="001744F9" w:rsidRDefault="001744F9"/>
          <w:p w14:paraId="2275E78F" w14:textId="204115B8" w:rsidR="00397D8F" w:rsidRDefault="00397D8F"/>
          <w:p w14:paraId="7BEAF33B" w14:textId="77777777" w:rsidR="00397D8F" w:rsidRDefault="00397D8F"/>
          <w:p w14:paraId="51F981C8" w14:textId="6BF4B137" w:rsidR="00BF62C2" w:rsidRDefault="00BF62C2"/>
          <w:tbl>
            <w:tblPr>
              <w:tblStyle w:val="Tabellenraster"/>
              <w:tblW w:w="140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4"/>
              <w:gridCol w:w="284"/>
              <w:gridCol w:w="4252"/>
              <w:gridCol w:w="709"/>
              <w:gridCol w:w="4394"/>
            </w:tblGrid>
            <w:tr w:rsidR="00BF62C2" w14:paraId="7706447E" w14:textId="77777777" w:rsidTr="00D535DF">
              <w:tc>
                <w:tcPr>
                  <w:tcW w:w="4414" w:type="dxa"/>
                  <w:tcBorders>
                    <w:top w:val="single" w:sz="8" w:space="0" w:color="000000" w:themeColor="text1"/>
                  </w:tcBorders>
                </w:tcPr>
                <w:p w14:paraId="5E272E35" w14:textId="544AEE51" w:rsidR="00BF62C2" w:rsidRDefault="00BF62C2" w:rsidP="00D535DF">
                  <w:pPr>
                    <w:jc w:val="center"/>
                  </w:pPr>
                  <w:r w:rsidRPr="001744F9">
                    <w:t>Prof.</w:t>
                  </w:r>
                  <w:r w:rsidRPr="00211F00">
                    <w:rPr>
                      <w:vertAlign w:val="superscript"/>
                    </w:rPr>
                    <w:t>in</w:t>
                  </w:r>
                  <w:r w:rsidRPr="001744F9">
                    <w:t xml:space="preserve"> </w:t>
                  </w:r>
                  <w:proofErr w:type="spellStart"/>
                  <w:r w:rsidRPr="001744F9">
                    <w:t>Mag.</w:t>
                  </w:r>
                  <w:r w:rsidRPr="00211F00">
                    <w:rPr>
                      <w:vertAlign w:val="superscript"/>
                    </w:rPr>
                    <w:t>a</w:t>
                  </w:r>
                  <w:proofErr w:type="spellEnd"/>
                  <w:r w:rsidRPr="001744F9">
                    <w:t xml:space="preserve"> Dr.</w:t>
                  </w:r>
                  <w:r w:rsidRPr="00211F00">
                    <w:rPr>
                      <w:vertAlign w:val="superscript"/>
                    </w:rPr>
                    <w:t>in</w:t>
                  </w:r>
                  <w:r w:rsidRPr="001744F9">
                    <w:t xml:space="preserve"> Sabine </w:t>
                  </w:r>
                  <w:proofErr w:type="spellStart"/>
                  <w:r w:rsidRPr="001744F9">
                    <w:t>Zenz</w:t>
                  </w:r>
                  <w:proofErr w:type="spellEnd"/>
                  <w:r w:rsidRPr="001744F9">
                    <w:t xml:space="preserve">, </w:t>
                  </w:r>
                  <w:proofErr w:type="spellStart"/>
                  <w:r w:rsidRPr="001744F9">
                    <w:t>MEd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20249C85" w14:textId="77777777" w:rsidR="00BF62C2" w:rsidRDefault="00BF62C2"/>
              </w:tc>
              <w:tc>
                <w:tcPr>
                  <w:tcW w:w="4252" w:type="dxa"/>
                  <w:tcBorders>
                    <w:top w:val="single" w:sz="8" w:space="0" w:color="000000" w:themeColor="text1"/>
                  </w:tcBorders>
                </w:tcPr>
                <w:p w14:paraId="3795580F" w14:textId="4E91FE27" w:rsidR="00BF62C2" w:rsidRDefault="00BF62C2" w:rsidP="00D535DF">
                  <w:pPr>
                    <w:jc w:val="center"/>
                  </w:pPr>
                  <w:r>
                    <w:t>Datum</w:t>
                  </w:r>
                </w:p>
              </w:tc>
              <w:tc>
                <w:tcPr>
                  <w:tcW w:w="709" w:type="dxa"/>
                </w:tcPr>
                <w:p w14:paraId="776004B2" w14:textId="77777777" w:rsidR="00BF62C2" w:rsidRDefault="00BF62C2"/>
              </w:tc>
              <w:tc>
                <w:tcPr>
                  <w:tcW w:w="4394" w:type="dxa"/>
                  <w:tcBorders>
                    <w:top w:val="single" w:sz="8" w:space="0" w:color="000000" w:themeColor="text1"/>
                  </w:tcBorders>
                </w:tcPr>
                <w:p w14:paraId="39A12B48" w14:textId="7B7D9ADF" w:rsidR="00BF62C2" w:rsidRDefault="00BF62C2" w:rsidP="00D535DF">
                  <w:pPr>
                    <w:jc w:val="center"/>
                  </w:pPr>
                  <w:r w:rsidRPr="001744F9">
                    <w:t>Prof.</w:t>
                  </w:r>
                  <w:r w:rsidRPr="00211F00">
                    <w:rPr>
                      <w:vertAlign w:val="superscript"/>
                    </w:rPr>
                    <w:t>in</w:t>
                  </w:r>
                  <w:r w:rsidRPr="001744F9">
                    <w:t xml:space="preserve"> </w:t>
                  </w:r>
                  <w:proofErr w:type="spellStart"/>
                  <w:r w:rsidRPr="001744F9">
                    <w:t>Mag.</w:t>
                  </w:r>
                  <w:r w:rsidRPr="00211F00">
                    <w:rPr>
                      <w:vertAlign w:val="superscript"/>
                    </w:rPr>
                    <w:t>a</w:t>
                  </w:r>
                  <w:proofErr w:type="spellEnd"/>
                  <w:r w:rsidRPr="001744F9">
                    <w:t xml:space="preserve"> phil. Jennifer Beck-</w:t>
                  </w:r>
                  <w:proofErr w:type="spellStart"/>
                  <w:r w:rsidRPr="001744F9">
                    <w:t>Saiz</w:t>
                  </w:r>
                  <w:proofErr w:type="spellEnd"/>
                </w:p>
              </w:tc>
            </w:tr>
          </w:tbl>
          <w:p w14:paraId="0407701B" w14:textId="77777777" w:rsidR="001744F9" w:rsidRDefault="001744F9"/>
          <w:p w14:paraId="2CECA59C" w14:textId="0D049652" w:rsidR="00397D8F" w:rsidRDefault="00397D8F"/>
        </w:tc>
      </w:tr>
    </w:tbl>
    <w:p w14:paraId="4C74B392" w14:textId="7A0B33BB" w:rsidR="009D64C2" w:rsidRDefault="009D64C2"/>
    <w:sectPr w:rsidR="009D64C2" w:rsidSect="00AB3AD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19F"/>
    <w:multiLevelType w:val="hybridMultilevel"/>
    <w:tmpl w:val="5CAA7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25F05"/>
    <w:multiLevelType w:val="hybridMultilevel"/>
    <w:tmpl w:val="2F4AB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96"/>
    <w:rsid w:val="000345DE"/>
    <w:rsid w:val="00062421"/>
    <w:rsid w:val="001744F9"/>
    <w:rsid w:val="00383BC7"/>
    <w:rsid w:val="00397D8F"/>
    <w:rsid w:val="003E3996"/>
    <w:rsid w:val="003F3B15"/>
    <w:rsid w:val="0040709D"/>
    <w:rsid w:val="00476D40"/>
    <w:rsid w:val="004E04DF"/>
    <w:rsid w:val="00573836"/>
    <w:rsid w:val="005B765B"/>
    <w:rsid w:val="006046A6"/>
    <w:rsid w:val="00742971"/>
    <w:rsid w:val="00791D9B"/>
    <w:rsid w:val="00796CC0"/>
    <w:rsid w:val="00846687"/>
    <w:rsid w:val="00872835"/>
    <w:rsid w:val="00942990"/>
    <w:rsid w:val="0098484E"/>
    <w:rsid w:val="009A12DB"/>
    <w:rsid w:val="009D43A4"/>
    <w:rsid w:val="009D64C2"/>
    <w:rsid w:val="00A925A8"/>
    <w:rsid w:val="00AB3ADB"/>
    <w:rsid w:val="00B42B07"/>
    <w:rsid w:val="00BF62C2"/>
    <w:rsid w:val="00CA4AF5"/>
    <w:rsid w:val="00CA548E"/>
    <w:rsid w:val="00CC24B7"/>
    <w:rsid w:val="00D024A5"/>
    <w:rsid w:val="00D535DF"/>
    <w:rsid w:val="00D92474"/>
    <w:rsid w:val="00D95B67"/>
    <w:rsid w:val="00ED2E38"/>
    <w:rsid w:val="00F66FB8"/>
    <w:rsid w:val="00FE4F9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CF92"/>
  <w15:chartTrackingRefBased/>
  <w15:docId w15:val="{0CD7F32D-A2B9-1D4D-B375-7D74F7B5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48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5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25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5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50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50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0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00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E50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0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0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-noe.ac.at/de/weiterbildung/quereinstie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rene.beier@ph-noe.ac.a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quereinstieg@ph-noe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EB594D-7DFE-A946-B742-FC67DA6779DC}">
  <we:reference id="9200e1cb-b863-496c-a06a-7d6a77712ab7" version="3.0.0.235" store="EXCatalog" storeType="EXCatalog"/>
  <we:alternateReferences>
    <we:reference id="WA104382010" version="3.0.0.235" store="de-A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AF8726EC9954FB1E594AE697AD55C" ma:contentTypeVersion="18" ma:contentTypeDescription="Ein neues Dokument erstellen." ma:contentTypeScope="" ma:versionID="824159db308d0d97d4b2af1fec54702a">
  <xsd:schema xmlns:xsd="http://www.w3.org/2001/XMLSchema" xmlns:xs="http://www.w3.org/2001/XMLSchema" xmlns:p="http://schemas.microsoft.com/office/2006/metadata/properties" xmlns:ns3="b4024b3c-239a-4032-8b1b-fe8e04eddf99" xmlns:ns4="13f27b31-2cdf-4b39-878c-6ea0dd009216" targetNamespace="http://schemas.microsoft.com/office/2006/metadata/properties" ma:root="true" ma:fieldsID="c2a1f9b6b50f60296e73094a2f93cbbc" ns3:_="" ns4:_="">
    <xsd:import namespace="b4024b3c-239a-4032-8b1b-fe8e04eddf99"/>
    <xsd:import namespace="13f27b31-2cdf-4b39-878c-6ea0dd009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4b3c-239a-4032-8b1b-fe8e04edd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7b31-2cdf-4b39-878c-6ea0dd009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024b3c-239a-4032-8b1b-fe8e04eddf99" xsi:nil="true"/>
  </documentManagement>
</p:properties>
</file>

<file path=customXml/itemProps1.xml><?xml version="1.0" encoding="utf-8"?>
<ds:datastoreItem xmlns:ds="http://schemas.openxmlformats.org/officeDocument/2006/customXml" ds:itemID="{8FBE4336-8318-41F8-BB41-C9F2E4EC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EBF82-5668-482D-A1D9-2524AC54F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24b3c-239a-4032-8b1b-fe8e04eddf99"/>
    <ds:schemaRef ds:uri="13f27b31-2cdf-4b39-878c-6ea0dd009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719F5-BDE6-4D79-8E1F-3700F8982F5B}">
  <ds:schemaRefs>
    <ds:schemaRef ds:uri="http://schemas.microsoft.com/office/2006/metadata/properties"/>
    <ds:schemaRef ds:uri="http://schemas.microsoft.com/office/infopath/2007/PartnerControls"/>
    <ds:schemaRef ds:uri="b4024b3c-239a-4032-8b1b-fe8e04edd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Patzel Markus</dc:creator>
  <cp:keywords/>
  <dc:description/>
  <cp:lastModifiedBy>Patzel Markus</cp:lastModifiedBy>
  <cp:revision>4</cp:revision>
  <dcterms:created xsi:type="dcterms:W3CDTF">2024-04-15T09:39:00Z</dcterms:created>
  <dcterms:modified xsi:type="dcterms:W3CDTF">2024-11-26T13:53:00Z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0x01010023CAF8726EC9954FB1E594AE697AD55C</vt:lpwstr>
  </property>
</Properties>
</file>